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70E86" w14:textId="09A4AAA8" w:rsidR="00B90ACC" w:rsidRPr="00B90ACC" w:rsidRDefault="00B90ACC" w:rsidP="00B90ACC">
      <w:pPr>
        <w:pStyle w:val="ContentsHeading"/>
      </w:pPr>
      <w:r w:rsidRPr="00B90ACC">
        <w:t>Co-creation and the Adoption of Innovation in Mission-Oriented Ecosystems</w:t>
      </w:r>
    </w:p>
    <w:p w14:paraId="7CE79380" w14:textId="74C00439" w:rsidR="00D40661" w:rsidRPr="00D40661" w:rsidRDefault="00DE0F7F" w:rsidP="00B90ACC">
      <w:pPr>
        <w:pStyle w:val="Coversublinetitle"/>
      </w:pPr>
      <w:r>
        <w:t xml:space="preserve">Advert ref: </w:t>
      </w:r>
      <w:r w:rsidR="00B90ACC">
        <w:t>FBL-SOLILA-27B</w:t>
      </w:r>
    </w:p>
    <w:p w14:paraId="36192EBA" w14:textId="6FF66AE0" w:rsidR="00D40661" w:rsidRDefault="00D40661" w:rsidP="00B90ACC">
      <w:pPr>
        <w:pStyle w:val="Heading3"/>
      </w:pPr>
      <w:bookmarkStart w:id="0" w:name="_Toc199424425"/>
      <w:r>
        <w:t>Overview</w:t>
      </w:r>
    </w:p>
    <w:p w14:paraId="2AD387F2" w14:textId="77777777" w:rsidR="00B90ACC" w:rsidRDefault="00B90ACC" w:rsidP="00B90ACC">
      <w:r>
        <w:t xml:space="preserve">Innovation is increasingly expected to address urgent societal challenges. Yet developing a promising solution is only the first step: many innovations fail to move beyond pilots and protected experimental settings. Although research has examined how innovations emerge, less attention has been paid to how they are adopted, scaled and embedded in wider socio-technical systems (Rogers, 2003; Geels, 2002). This is particularly important because innovation increasingly depends on collaboration among universities, firms, public bodies, civil society organisations and users, making adoption a collective rather than a purely organisational process (Adner, 2017; </w:t>
      </w:r>
      <w:proofErr w:type="spellStart"/>
      <w:r>
        <w:t>Jacobides</w:t>
      </w:r>
      <w:proofErr w:type="spellEnd"/>
      <w:r>
        <w:t xml:space="preserve"> et al., 2018).</w:t>
      </w:r>
    </w:p>
    <w:p w14:paraId="4621330D" w14:textId="77777777" w:rsidR="00B90ACC" w:rsidRDefault="00B90ACC" w:rsidP="00B90ACC">
      <w:r>
        <w:t>This studentship is embedded within SOLILA, a 54-month Horizon Europe project involving 39 partners and supporting the EU Mission ‘A Soil Deal for Europe’. SOLILA addresses the deterioration of European soils and asks a practical question: how can effective soil-health solutions move from development into sustained use?</w:t>
      </w:r>
    </w:p>
    <w:p w14:paraId="02B043AE" w14:textId="77777777" w:rsidR="00B90ACC" w:rsidRDefault="00B90ACC" w:rsidP="00B90ACC">
      <w:r>
        <w:lastRenderedPageBreak/>
        <w:t>SOLILA will establish five Living Labs in Serbia, North Macedonia, Czechia, Italy and Poland, spanning different farming systems and socio-economic contexts. The Labs will function as long-term sites of co-creation, where farmers, researchers, advisers, businesses, civil society organisations and public authorities identify problems, develop solutions and negotiate how those solutions can be adopted. All five Labs will address soil organic carbon and climate resilience, while responding to local problems such as erosion, declining soil structure, land degradation and pollution. This common structure will allow the study to compare how co-creation works across different settings and with what results.</w:t>
      </w:r>
    </w:p>
    <w:p w14:paraId="3F212867" w14:textId="77777777" w:rsidR="00B90ACC" w:rsidRDefault="00B90ACC" w:rsidP="00B90ACC">
      <w:r>
        <w:t>Crucially, SOLILA treats adoption as more than a technical or diffusion problem. It addresses soil literacy, behavioural barriers, trust, incentives, advisory capacity and the governance conditions that determine whether co-created solutions translate into lasting changes in practice — echoing a realist logic in which what works depends on the interplay between the innovation, the context in which it is introduced, and the mechanisms of trust, capacity and legitimacy it activates or undermines. Harmonised monitoring, capacity building, cross-Lab learning and policy co-design will support systematic comparison and knowledge transfer, enabling the Living Labs to move beyond demonstration and become engines of sustained, scalable change.</w:t>
      </w:r>
    </w:p>
    <w:p w14:paraId="7617C81D" w14:textId="77777777" w:rsidR="00B90ACC" w:rsidRDefault="00B90ACC" w:rsidP="00B90ACC">
      <w:r>
        <w:t xml:space="preserve">Within this setting, the PhD will examine how innovation strategies, ecosystem governance and policy interventions shape the scaling of sustainability-oriented innovations in soil management. The researcher will contribute to the Open University team while pursuing an independent programme of study that </w:t>
      </w:r>
      <w:r>
        <w:lastRenderedPageBreak/>
        <w:t>combines a systematic literature review, a comparative, realist-informed analysis across the Living Labs, and a multi-country stakeholder survey. The position offers rare longitudinal access to co-creation processes as they unfold in real time, together with opportunities to develop an international research profile and European professional network.</w:t>
      </w:r>
    </w:p>
    <w:p w14:paraId="4C8046D8" w14:textId="506F6E4A" w:rsidR="00D40661" w:rsidRDefault="00B90ACC" w:rsidP="00B90ACC">
      <w:pPr>
        <w:pStyle w:val="Heading3"/>
      </w:pPr>
      <w:r>
        <w:t>Project Aim</w:t>
      </w:r>
    </w:p>
    <w:p w14:paraId="091C6611" w14:textId="77777777" w:rsidR="00B90ACC" w:rsidRDefault="00B90ACC" w:rsidP="00B90ACC">
      <w:r>
        <w:t>The project will investigate how innovation strategies, ecosystem structures and policy interventions shape the adoption, scaling and long-term sustainability of innovations developed in mission-oriented settings.</w:t>
      </w:r>
    </w:p>
    <w:p w14:paraId="2184622F" w14:textId="77777777" w:rsidR="00B90ACC" w:rsidRDefault="00B90ACC" w:rsidP="00B90ACC">
      <w:r>
        <w:t>It will analyse the roles of different actors, how governance arrangements enable or constrain collective action, and which policy conditions help promising solutions progress from experimentation to wider use (</w:t>
      </w:r>
      <w:proofErr w:type="spellStart"/>
      <w:r>
        <w:t>Kivimaa</w:t>
      </w:r>
      <w:proofErr w:type="spellEnd"/>
      <w:r>
        <w:t xml:space="preserve"> &amp; Kern, 2016; Weber &amp; </w:t>
      </w:r>
      <w:proofErr w:type="spellStart"/>
      <w:r>
        <w:t>Rohracher</w:t>
      </w:r>
      <w:proofErr w:type="spellEnd"/>
      <w:r>
        <w:t>, 2012). Collaboration, trust, stakeholder participation and institutional support will be examined as mechanisms affecting uptake, rather than treated simply as desirable ecosystem features.</w:t>
      </w:r>
    </w:p>
    <w:p w14:paraId="6EB76DE7" w14:textId="77777777" w:rsidR="00B90ACC" w:rsidRDefault="00B90ACC" w:rsidP="00B90ACC">
      <w:r>
        <w:t xml:space="preserve">The study will draw on five complementary bodies of theory. Innovation Ecosystem theory will illuminate interdependencies among organisations involved in developing and diffusing new solutions (Adner, 2017; </w:t>
      </w:r>
      <w:proofErr w:type="spellStart"/>
      <w:r>
        <w:t>Jacobides</w:t>
      </w:r>
      <w:proofErr w:type="spellEnd"/>
      <w:r>
        <w:t xml:space="preserve"> et al., 2018). Mission-Oriented Innovation and public management perspective will explain how public policy directs collective effort towards societal challenges (Mazzucato, 2018; Mazzucato et al., 2020). Sustainability Transitions theory will guide examination of movement from protected niches into established socio-technical systems (Geels, 2002, 2019; Köhler et al., 2019). Technology Adoption </w:t>
      </w:r>
      <w:r>
        <w:lastRenderedPageBreak/>
        <w:t xml:space="preserve">and Diffusion theories will inform analysis of the behavioural and organisational conditions influencing uptake (Rogers, 2003; Venkatesh et al., 2012). Responsible Research and Innovation will provide a basis for considering participation, inclusiveness, co-creation and societal value, in dialogue with work on the legitimation of transformative innovation policy (Weber &amp; </w:t>
      </w:r>
      <w:proofErr w:type="spellStart"/>
      <w:r>
        <w:t>Rohracher</w:t>
      </w:r>
      <w:proofErr w:type="spellEnd"/>
      <w:r>
        <w:t>, 2012).</w:t>
      </w:r>
    </w:p>
    <w:p w14:paraId="0E00260A" w14:textId="77777777" w:rsidR="00B90ACC" w:rsidRDefault="00B90ACC" w:rsidP="00B90ACC">
      <w:r>
        <w:t>Combining these perspectives will connect debates that are often considered separately and produce recommendations relevant to researchers and practitioners.</w:t>
      </w:r>
    </w:p>
    <w:p w14:paraId="36C00F7F" w14:textId="77777777" w:rsidR="00B90ACC" w:rsidRDefault="00B90ACC" w:rsidP="00B90ACC">
      <w:r>
        <w:t>Empirically, the study will focus on the uptake of soil-health solutions by farmers, land managers, advisers and public authorities. This demanding context, in which technically credible interventions do not necessarily spread, is well suited to testing the proposed framework. The PhD researcher will contribute to the Open University’s role in SOLILA while examining the ecosystem from an independent analytical position. This combination offers a distinctive methodological opportunity and a structured route for professional development.</w:t>
      </w:r>
    </w:p>
    <w:p w14:paraId="011F4804" w14:textId="77777777" w:rsidR="00B90ACC" w:rsidRDefault="00B90ACC" w:rsidP="00B90ACC">
      <w:r>
        <w:t xml:space="preserve">Participation in consortium meetings, cross-partner groups, deliverable preparation and Living Lab activities will provide experience rarely available through a conventional PhD. The researcher will work within a large international partnership, collaborate across national and disciplinary boundaries, co-produce knowledge with non-academic participants, meet the requirements of a European funding programme and engage policy audiences. Responsible Research and Innovation will therefore be both a subject of analysis and a </w:t>
      </w:r>
      <w:r>
        <w:lastRenderedPageBreak/>
        <w:t>guiding approach. The resulting expertise and connections will support future careers in academia, policy or innovation management.</w:t>
      </w:r>
    </w:p>
    <w:p w14:paraId="5A98F21C" w14:textId="557E3E30" w:rsidR="00D40661" w:rsidRDefault="00B90ACC" w:rsidP="00B90ACC">
      <w:pPr>
        <w:pStyle w:val="Heading3"/>
      </w:pPr>
      <w:r>
        <w:t>Methodology</w:t>
      </w:r>
    </w:p>
    <w:p w14:paraId="430FEA77" w14:textId="77777777" w:rsidR="00B90ACC" w:rsidRDefault="00B90ACC" w:rsidP="00B90ACC">
      <w:r>
        <w:t>The project will adopt a sequential mixed-methods design comprising three phases. Qualitative and quantitative evidence will be developed in sequence and integrated in a final synthesis. The design is anchored in the Open University’s activities within SOLILA, which provide the setting, access and much of the material required for the empirical work.</w:t>
      </w:r>
    </w:p>
    <w:p w14:paraId="54A2B078" w14:textId="77777777" w:rsidR="00B90ACC" w:rsidRDefault="00B90ACC" w:rsidP="00B90ACC">
      <w:r>
        <w:t>The researcher will participate in SOLILA as a contributing consortium member rather than a detached observer. As the Open University leads the project’s co-creation and capacity-building work, the researcher will help shape some of the engagement processes under examination. The qualitative strand will therefore have a participatory orientation. In one or two focal Living Labs, bounded action-research cycles will identify an adoption barrier, co-design and implement a response, assess its effects, and feed the learning back into practice and theory. SOLILA’s process for monitoring and adapting its co-creation methodology will provide a structure for these cycles. The remaining Living Labs will be examined as comparative participant-observation cases, retaining analytical distance and enabling cross-case comparison.</w:t>
      </w:r>
    </w:p>
    <w:p w14:paraId="0058D240" w14:textId="77777777" w:rsidR="00B90ACC" w:rsidRDefault="00B90ACC" w:rsidP="00B90ACC">
      <w:r>
        <w:t xml:space="preserve">Phase one will comprise a systematic review of scholarship on innovation strategy, ecosystems (Adner, 2017; </w:t>
      </w:r>
      <w:proofErr w:type="spellStart"/>
      <w:r>
        <w:t>Jacobides</w:t>
      </w:r>
      <w:proofErr w:type="spellEnd"/>
      <w:r>
        <w:t xml:space="preserve"> et al., 2018), mission-oriented innovation and public management (Mazzucato, 2018; Mazzucato et al., 2020), sustainability transitions (Geels, 2019; Köhler et al., 2019), technology adoption </w:t>
      </w:r>
      <w:r>
        <w:lastRenderedPageBreak/>
        <w:t>and diffusion (Rogers, 2003; Venkatesh et al., 2012), and Living Labs. The review will clarify the principal debates, identify gaps and specify the relationships to be examined empirically. Its findings will inform an initial conceptual framework and propositions for the subsequent phases.</w:t>
      </w:r>
    </w:p>
    <w:p w14:paraId="6A868EE1" w14:textId="77777777" w:rsidR="00B90ACC" w:rsidRDefault="00B90ACC" w:rsidP="00B90ACC">
      <w:r>
        <w:t xml:space="preserve">Phase two will involve comparative case studies of mission-oriented ecosystems, with SOLILA’s five Living Labs providing the main setting. Across these sites, researchers, policymakers, firms, civil society organisations, intermediaries and users collaborate to </w:t>
      </w:r>
      <w:proofErr w:type="gramStart"/>
      <w:r>
        <w:t>co-create,</w:t>
      </w:r>
      <w:proofErr w:type="gramEnd"/>
      <w:r>
        <w:t xml:space="preserve"> test and scale soil-health solutions. Comparison will reveal how uptake develops under different institutional, cultural and policy conditions, while allowing the researcher to trace movement from experimentation towards wider implementation and integration into policy—a sequence that remains insufficiently understood in comparative transitions research (Geels, 2019; Köhler et al., 2019). </w:t>
      </w:r>
      <w:proofErr w:type="gramStart"/>
      <w:r>
        <w:t>Where</w:t>
      </w:r>
      <w:proofErr w:type="gramEnd"/>
      <w:r>
        <w:t xml:space="preserve"> useful for theoretical generalisation, the study may also draw on selected European Living Lab or mission-oriented initiatives beyond SOLILA.</w:t>
      </w:r>
    </w:p>
    <w:p w14:paraId="47243F55" w14:textId="77777777" w:rsidR="00B90ACC" w:rsidRDefault="00B90ACC" w:rsidP="00B90ACC">
      <w:r>
        <w:t xml:space="preserve">The Open University’s responsibilities within SOLILA will provide the principal routes to access and data generation during this phase. Its leadership of Work Package 2 on Co-Creation and Capacity Building will place the researcher close to the design and delivery of engagement strategies. Developing the common methodology and training facilitators will generate documentary and observational material on how ecosystem actors seek to encourage uptake. Longitudinal interviews and pre- and post-engagement surveys will show how participation, trust and institutional support evolve. Twinning, peer learning and regular coordination will illuminate how knowledge and practices travel </w:t>
      </w:r>
      <w:r>
        <w:lastRenderedPageBreak/>
        <w:t>between contexts. Contributions to the assessment of soil-health solutions, policy recommendations and long-term sustainability planning will reveal how outcomes are evaluated and embedded.</w:t>
      </w:r>
    </w:p>
    <w:p w14:paraId="549E6FD4" w14:textId="77777777" w:rsidR="00B90ACC" w:rsidRDefault="00B90ACC" w:rsidP="00B90ACC">
      <w:r>
        <w:t xml:space="preserve">These activities are integral to the methodology rather than duties conducted alongside it. Participation in the consortium will provide sustained access to all five Labs and to governance discussions rarely open to external observers, allowing evidence to be gathered as engagement is designed, contested and revised. Two boundaries will protect the independence of the PhD. Instruments co-developed for SOLILA will be supplemented with items required specifically for the doctoral research, ensuring that its dataset remains distinguishable from project deliverables. Consortium-generated material will be used only </w:t>
      </w:r>
      <w:proofErr w:type="gramStart"/>
      <w:r>
        <w:t>where</w:t>
      </w:r>
      <w:proofErr w:type="gramEnd"/>
      <w:r>
        <w:t xml:space="preserve"> covered by the study’s ethical approvals and participant consent.</w:t>
      </w:r>
    </w:p>
    <w:p w14:paraId="5D34EA96" w14:textId="77777777" w:rsidR="00B90ACC" w:rsidRDefault="00B90ACC" w:rsidP="00B90ACC">
      <w:r>
        <w:t>Qualitative material will come from semi-structured interviews, stakeholder workshops, focus groups, observations of consortium and Living Lab meetings, and a structured diary maintained during the action-research cycles. Project documents, monitoring reports, sustainability strategies and innovation roadmaps will provide further sources. Cross-case analysis will identify recurring mechanisms and explain differences associated with particular institutional and national contexts.</w:t>
      </w:r>
    </w:p>
    <w:p w14:paraId="52185CC6" w14:textId="77777777" w:rsidR="00B90ACC" w:rsidRDefault="00B90ACC" w:rsidP="00B90ACC">
      <w:r>
        <w:t xml:space="preserve">The researcher’s dual position offers valuable access but also creates a risk of insider bias. Several safeguards will address this. A reflexive journal will record the researcher’s role, assumptions and interventions; material produced for consortium purposes will be distinguished from that collected specifically for the PhD; and emerging interpretations will be checked with Living Lab partners </w:t>
      </w:r>
      <w:r>
        <w:lastRenderedPageBreak/>
        <w:t>and tested through discussion with the supervisory team. Consortium deliverables and the independent doctoral analysis will remain clearly separated.</w:t>
      </w:r>
    </w:p>
    <w:p w14:paraId="0BAC016F" w14:textId="77777777" w:rsidR="00B90ACC" w:rsidRDefault="00B90ACC" w:rsidP="00B90ACC">
      <w:r>
        <w:t>Phase three will draw on the qualitative evidence to design a multi-country survey of ecosystem stakeholders. Respondents may include researchers, innovators, policymakers, advisers, technology providers, intermediary organisations, businesses and users. Measures will capture constructs identified in the conceptual framework and refined through the case studies, including adoption intentions, participation, collaboration, trust, institutional support, innovation readiness, policy effectiveness, perceived usefulness and barriers to uptake. Established instruments will be used where appropriate, particularly for adoption intention and perceived usefulness (Venkatesh et al., 2012), and adapted from the individual technology-user context to a multi-actor setting. The analysis will be selected in light of the final model and dataset and may include Structural Equation Modelling, Partial Least Squares Structural Equation Modelling, mediation and moderation tests, multi-group comparisons, or fuzzy-set Qualitative Comparative Analysis. Its purpose will be to assess the mechanisms associated with adoption and ecosystem performance, rather than to apply techniques for their own sake.</w:t>
      </w:r>
    </w:p>
    <w:p w14:paraId="60BFA935" w14:textId="77777777" w:rsidR="00B90ACC" w:rsidRDefault="00B90ACC" w:rsidP="00B90ACC">
      <w:r>
        <w:t xml:space="preserve">The concluding synthesis will integrate case-study and survey evidence. Qualitative findings will explain the processes underlying the statistical relationships, while the survey will indicate how far patterns observed in the cases extend across a wider group of stakeholders. The resulting Innovation Adoption and Scaling Framework will set out how ecosystems can be designed, </w:t>
      </w:r>
      <w:r>
        <w:lastRenderedPageBreak/>
        <w:t>governed and supported to encourage diffusion, meaningful participation and lasting societal benefit.</w:t>
      </w:r>
    </w:p>
    <w:p w14:paraId="33CB44B3" w14:textId="77777777" w:rsidR="00B90ACC" w:rsidRDefault="00B90ACC" w:rsidP="00B90ACC">
      <w:r>
        <w:t>The project will make theoretical and practical contributions. It will deepen understanding of how strategy and ecosystem governance affect uptake, while offering usable guidance to policymakers, innovation managers and Living Lab coordinators. Because the researcher will be embedded in SOLILA, emerging findings can inform consortium deliverables, local practice and policy engagement during the project rather than only after completion.</w:t>
      </w:r>
    </w:p>
    <w:p w14:paraId="76992C99" w14:textId="009DD06D" w:rsidR="00206A23" w:rsidRDefault="00206A23" w:rsidP="00206A23">
      <w:pPr>
        <w:pStyle w:val="Heading3"/>
      </w:pPr>
      <w:r>
        <w:t>Contact</w:t>
      </w:r>
    </w:p>
    <w:p w14:paraId="700BBADC" w14:textId="761F00C5" w:rsidR="00206A23" w:rsidRDefault="00206A23" w:rsidP="00206A23">
      <w:r>
        <w:t xml:space="preserve">Academic queries: </w:t>
      </w:r>
      <w:hyperlink r:id="rId11" w:history="1">
        <w:r w:rsidRPr="00F70065">
          <w:rPr>
            <w:rStyle w:val="Hyperlink"/>
          </w:rPr>
          <w:t>Giacomo.Carli@open.ac.uk</w:t>
        </w:r>
      </w:hyperlink>
    </w:p>
    <w:p w14:paraId="4DA7EBB2" w14:textId="743DC3C6" w:rsidR="00206A23" w:rsidRPr="00206A23" w:rsidRDefault="00C6456C" w:rsidP="00206A23">
      <w:r>
        <w:t xml:space="preserve">Procedural queries: </w:t>
      </w:r>
      <w:hyperlink r:id="rId12" w:history="1">
        <w:r w:rsidR="00F70065" w:rsidRPr="00BB6347">
          <w:rPr>
            <w:rStyle w:val="Hyperlink"/>
            <w:rFonts w:cs="Poppins"/>
          </w:rPr>
          <w:t>Graduate-School@open.ac.uk</w:t>
        </w:r>
      </w:hyperlink>
    </w:p>
    <w:p w14:paraId="558B1A95" w14:textId="00151E8E" w:rsidR="00D40661" w:rsidRDefault="00B90ACC" w:rsidP="00B90ACC">
      <w:pPr>
        <w:pStyle w:val="Heading3"/>
      </w:pPr>
      <w:r>
        <w:t>References and f</w:t>
      </w:r>
      <w:r w:rsidR="00D40661">
        <w:t>urther reading</w:t>
      </w:r>
    </w:p>
    <w:p w14:paraId="56236360" w14:textId="460B75D1" w:rsidR="00B90ACC" w:rsidRDefault="00B90ACC" w:rsidP="00B90ACC">
      <w:hyperlink r:id="rId13" w:history="1">
        <w:r w:rsidRPr="00B90ACC">
          <w:rPr>
            <w:rStyle w:val="Hyperlink"/>
          </w:rPr>
          <w:t>Adner, R. (2017). Ecosystem as structure: An actionable construct for strategy. Journal of Management, 43(1), 39-58</w:t>
        </w:r>
      </w:hyperlink>
    </w:p>
    <w:p w14:paraId="26A835AA" w14:textId="6CE13F3E" w:rsidR="00B90ACC" w:rsidRDefault="00B90ACC" w:rsidP="00B90ACC">
      <w:hyperlink r:id="rId14" w:history="1">
        <w:r w:rsidRPr="00797436">
          <w:rPr>
            <w:rStyle w:val="Hyperlink"/>
          </w:rPr>
          <w:t>Geels, F. W. (2002). Technological transitions as evolutionary reconfiguration processes: A multi-level perspective and a case study. Research Policy, 31(8-9), 1257-1274</w:t>
        </w:r>
      </w:hyperlink>
      <w:r>
        <w:t xml:space="preserve"> </w:t>
      </w:r>
    </w:p>
    <w:p w14:paraId="1E1F81CB" w14:textId="76DA8CEC" w:rsidR="00B90ACC" w:rsidRDefault="00B90ACC" w:rsidP="00B90ACC">
      <w:hyperlink r:id="rId15" w:history="1">
        <w:r w:rsidRPr="00206A23">
          <w:rPr>
            <w:rStyle w:val="Hyperlink"/>
          </w:rPr>
          <w:t>Geels, F. W. (2019). Socio-technical transitions to sustainability: A review of criticisms and elaborations of the multi-level perspective. Research Policy, 48(4)</w:t>
        </w:r>
      </w:hyperlink>
    </w:p>
    <w:p w14:paraId="39C303B7" w14:textId="3E42A438" w:rsidR="00B90ACC" w:rsidRDefault="00B90ACC" w:rsidP="00B90ACC">
      <w:hyperlink r:id="rId16" w:history="1">
        <w:proofErr w:type="spellStart"/>
        <w:r w:rsidRPr="00206A23">
          <w:rPr>
            <w:rStyle w:val="Hyperlink"/>
          </w:rPr>
          <w:t>Jacobides</w:t>
        </w:r>
        <w:proofErr w:type="spellEnd"/>
        <w:r w:rsidRPr="00206A23">
          <w:rPr>
            <w:rStyle w:val="Hyperlink"/>
          </w:rPr>
          <w:t xml:space="preserve">, M. G., Cennamo, C., &amp; </w:t>
        </w:r>
        <w:proofErr w:type="spellStart"/>
        <w:r w:rsidRPr="00206A23">
          <w:rPr>
            <w:rStyle w:val="Hyperlink"/>
          </w:rPr>
          <w:t>Gawer</w:t>
        </w:r>
        <w:proofErr w:type="spellEnd"/>
        <w:r w:rsidRPr="00206A23">
          <w:rPr>
            <w:rStyle w:val="Hyperlink"/>
          </w:rPr>
          <w:t>, A. (2018). Towards a theory of ecosystems. Strategic Management Journal, 39(8), 2255-2276.</w:t>
        </w:r>
      </w:hyperlink>
      <w:r>
        <w:t xml:space="preserve"> </w:t>
      </w:r>
    </w:p>
    <w:p w14:paraId="09725B73" w14:textId="58F5C893" w:rsidR="00B90ACC" w:rsidRDefault="00B90ACC" w:rsidP="00B90ACC">
      <w:hyperlink r:id="rId17" w:history="1">
        <w:proofErr w:type="spellStart"/>
        <w:r w:rsidRPr="00206A23">
          <w:rPr>
            <w:rStyle w:val="Hyperlink"/>
          </w:rPr>
          <w:t>Kivimaa</w:t>
        </w:r>
        <w:proofErr w:type="spellEnd"/>
        <w:r w:rsidRPr="00206A23">
          <w:rPr>
            <w:rStyle w:val="Hyperlink"/>
          </w:rPr>
          <w:t>, P., &amp; Kern, F. (2016). Creative destruction or mere niche support? Innovation policy mixes for sustainability transitions. Research Policy, 45(1), 205-217</w:t>
        </w:r>
      </w:hyperlink>
      <w:r>
        <w:t xml:space="preserve">. </w:t>
      </w:r>
    </w:p>
    <w:p w14:paraId="032B07B3" w14:textId="4623A0F5" w:rsidR="00B90ACC" w:rsidRDefault="00B90ACC" w:rsidP="00B90ACC">
      <w:hyperlink r:id="rId18" w:history="1">
        <w:r w:rsidRPr="00206A23">
          <w:rPr>
            <w:rStyle w:val="Hyperlink"/>
          </w:rPr>
          <w:t xml:space="preserve">Köhler, J., Geels, F. W., Kern, F., </w:t>
        </w:r>
        <w:proofErr w:type="spellStart"/>
        <w:r w:rsidRPr="00206A23">
          <w:rPr>
            <w:rStyle w:val="Hyperlink"/>
          </w:rPr>
          <w:t>Markard</w:t>
        </w:r>
        <w:proofErr w:type="spellEnd"/>
        <w:r w:rsidRPr="00206A23">
          <w:rPr>
            <w:rStyle w:val="Hyperlink"/>
          </w:rPr>
          <w:t xml:space="preserve">, J., Onsongo, E., Wieczorek, A., Alkemade, F., Avelino, F., </w:t>
        </w:r>
        <w:proofErr w:type="spellStart"/>
        <w:r w:rsidRPr="00206A23">
          <w:rPr>
            <w:rStyle w:val="Hyperlink"/>
          </w:rPr>
          <w:t>Bergek</w:t>
        </w:r>
        <w:proofErr w:type="spellEnd"/>
        <w:r w:rsidRPr="00206A23">
          <w:rPr>
            <w:rStyle w:val="Hyperlink"/>
          </w:rPr>
          <w:t xml:space="preserve">, A., Boons, F., </w:t>
        </w:r>
        <w:proofErr w:type="spellStart"/>
        <w:r w:rsidRPr="00206A23">
          <w:rPr>
            <w:rStyle w:val="Hyperlink"/>
          </w:rPr>
          <w:t>Fünfschilling</w:t>
        </w:r>
        <w:proofErr w:type="spellEnd"/>
        <w:r w:rsidRPr="00206A23">
          <w:rPr>
            <w:rStyle w:val="Hyperlink"/>
          </w:rPr>
          <w:t xml:space="preserve">, L., Hess, D., Holtz, G., </w:t>
        </w:r>
        <w:proofErr w:type="spellStart"/>
        <w:r w:rsidRPr="00206A23">
          <w:rPr>
            <w:rStyle w:val="Hyperlink"/>
          </w:rPr>
          <w:t>Hyysalo</w:t>
        </w:r>
        <w:proofErr w:type="spellEnd"/>
        <w:r w:rsidRPr="00206A23">
          <w:rPr>
            <w:rStyle w:val="Hyperlink"/>
          </w:rPr>
          <w:t xml:space="preserve">, S., Jenkins, K., </w:t>
        </w:r>
        <w:proofErr w:type="spellStart"/>
        <w:r w:rsidRPr="00206A23">
          <w:rPr>
            <w:rStyle w:val="Hyperlink"/>
          </w:rPr>
          <w:t>Kivimaa</w:t>
        </w:r>
        <w:proofErr w:type="spellEnd"/>
        <w:r w:rsidRPr="00206A23">
          <w:rPr>
            <w:rStyle w:val="Hyperlink"/>
          </w:rPr>
          <w:t xml:space="preserve">, P., </w:t>
        </w:r>
        <w:proofErr w:type="spellStart"/>
        <w:r w:rsidRPr="00206A23">
          <w:rPr>
            <w:rStyle w:val="Hyperlink"/>
          </w:rPr>
          <w:t>Martiskainen</w:t>
        </w:r>
        <w:proofErr w:type="spellEnd"/>
        <w:r w:rsidRPr="00206A23">
          <w:rPr>
            <w:rStyle w:val="Hyperlink"/>
          </w:rPr>
          <w:t xml:space="preserve">, M., McMeekin, A., </w:t>
        </w:r>
        <w:proofErr w:type="spellStart"/>
        <w:r w:rsidRPr="00206A23">
          <w:rPr>
            <w:rStyle w:val="Hyperlink"/>
          </w:rPr>
          <w:t>Mühlemeier</w:t>
        </w:r>
        <w:proofErr w:type="spellEnd"/>
        <w:r w:rsidRPr="00206A23">
          <w:rPr>
            <w:rStyle w:val="Hyperlink"/>
          </w:rPr>
          <w:t>, M. S., &amp; Wells, P. (2019). An agenda for sustainability transitions research. Environmental Innovation and Societal Transitions, 31, 1-32</w:t>
        </w:r>
      </w:hyperlink>
      <w:r>
        <w:t xml:space="preserve">. </w:t>
      </w:r>
    </w:p>
    <w:p w14:paraId="24D304FE" w14:textId="3A6162D7" w:rsidR="00B90ACC" w:rsidRDefault="00B90ACC" w:rsidP="00B90ACC">
      <w:hyperlink r:id="rId19" w:history="1">
        <w:r w:rsidRPr="00206A23">
          <w:rPr>
            <w:rStyle w:val="Hyperlink"/>
          </w:rPr>
          <w:t>Mazzucato, M. (2018). Mission-oriented innovation policies: Challenges and opportunities. Industrial and Corporate Change, 27(5), 803-815.</w:t>
        </w:r>
      </w:hyperlink>
      <w:r>
        <w:t xml:space="preserve"> </w:t>
      </w:r>
    </w:p>
    <w:p w14:paraId="4E734922" w14:textId="71983077" w:rsidR="00B90ACC" w:rsidRDefault="00B90ACC" w:rsidP="00B90ACC">
      <w:hyperlink r:id="rId20" w:history="1">
        <w:r w:rsidRPr="00206A23">
          <w:rPr>
            <w:rStyle w:val="Hyperlink"/>
          </w:rPr>
          <w:t>Mazzucato, M., Kattel, R., &amp; Ryan-Collins, J. (2020). Challenge-driven innovation policy: Towards a new policy toolkit. Journal of Industry, Competition and Trade, 20(2), 421-437</w:t>
        </w:r>
      </w:hyperlink>
      <w:r>
        <w:t xml:space="preserve">. </w:t>
      </w:r>
    </w:p>
    <w:p w14:paraId="37C98B6C" w14:textId="77777777" w:rsidR="00B90ACC" w:rsidRDefault="00B90ACC" w:rsidP="00B90ACC">
      <w:r>
        <w:t>Rogers, E. M. (2003). Diffusion of innovations (5th ed.). Free Press.</w:t>
      </w:r>
    </w:p>
    <w:p w14:paraId="49F6818E" w14:textId="4A0A2FB5" w:rsidR="00B90ACC" w:rsidRDefault="00B90ACC" w:rsidP="00B90ACC">
      <w:hyperlink r:id="rId21" w:history="1">
        <w:r w:rsidRPr="00A37306">
          <w:rPr>
            <w:rStyle w:val="Hyperlink"/>
          </w:rPr>
          <w:t>Venkatesh, V., Thong, J. Y. L., &amp; Xu, X. (2012). Consumer acceptance and use of information technology: Extending the unified theory of acceptance and use of technology. MIS Quarterly, 36(1), 157-178</w:t>
        </w:r>
      </w:hyperlink>
      <w:r>
        <w:t>.</w:t>
      </w:r>
    </w:p>
    <w:p w14:paraId="10D4FDD4" w14:textId="2C0550C7" w:rsidR="00B90ACC" w:rsidRDefault="00B90ACC" w:rsidP="00B90ACC">
      <w:hyperlink r:id="rId22" w:history="1">
        <w:r w:rsidRPr="00206A23">
          <w:rPr>
            <w:rStyle w:val="Hyperlink"/>
          </w:rPr>
          <w:t xml:space="preserve">Weber, K. M., &amp; </w:t>
        </w:r>
        <w:proofErr w:type="spellStart"/>
        <w:r w:rsidRPr="00206A23">
          <w:rPr>
            <w:rStyle w:val="Hyperlink"/>
          </w:rPr>
          <w:t>Rohracher</w:t>
        </w:r>
        <w:proofErr w:type="spellEnd"/>
        <w:r w:rsidRPr="00206A23">
          <w:rPr>
            <w:rStyle w:val="Hyperlink"/>
          </w:rPr>
          <w:t>, H. (2012). Legitimizing research, technology and innovation policies for transformative change. Research Policy, 41(6), 1037-1047</w:t>
        </w:r>
      </w:hyperlink>
      <w:r>
        <w:t xml:space="preserve">. </w:t>
      </w:r>
    </w:p>
    <w:bookmarkEnd w:id="0"/>
    <w:p w14:paraId="700FE310" w14:textId="77777777" w:rsidR="00D40661" w:rsidRPr="00D40661" w:rsidRDefault="00D40661" w:rsidP="00D40661"/>
    <w:sectPr w:rsidR="00D40661" w:rsidRPr="00D40661" w:rsidSect="00A66BD8">
      <w:footerReference w:type="default" r:id="rId23"/>
      <w:pgSz w:w="11900" w:h="16840"/>
      <w:pgMar w:top="1134" w:right="1134" w:bottom="2127"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E1537" w14:textId="77777777" w:rsidR="007E43E7" w:rsidRDefault="007E43E7" w:rsidP="00E56F2A">
      <w:r>
        <w:separator/>
      </w:r>
    </w:p>
    <w:p w14:paraId="2260B35A" w14:textId="77777777" w:rsidR="007E43E7" w:rsidRDefault="007E43E7"/>
    <w:p w14:paraId="72CD4B66" w14:textId="77777777" w:rsidR="007E43E7" w:rsidRDefault="007E43E7"/>
  </w:endnote>
  <w:endnote w:type="continuationSeparator" w:id="0">
    <w:p w14:paraId="4EC808E6" w14:textId="77777777" w:rsidR="007E43E7" w:rsidRDefault="007E43E7" w:rsidP="00E56F2A">
      <w:r>
        <w:continuationSeparator/>
      </w:r>
    </w:p>
    <w:p w14:paraId="6B0A4634" w14:textId="77777777" w:rsidR="007E43E7" w:rsidRDefault="007E43E7"/>
    <w:p w14:paraId="04343341" w14:textId="77777777" w:rsidR="007E43E7" w:rsidRDefault="007E43E7"/>
  </w:endnote>
  <w:endnote w:type="continuationNotice" w:id="1">
    <w:p w14:paraId="2872B51E" w14:textId="77777777" w:rsidR="007E43E7" w:rsidRDefault="007E4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CC"/>
    <w:family w:val="modern"/>
    <w:notTrueType/>
    <w:pitch w:val="variable"/>
    <w:sig w:usb0="8000020B" w:usb1="10000048" w:usb2="00000000" w:usb3="00000000" w:csb0="00000004" w:csb1="00000000"/>
  </w:font>
  <w:font w:name="Poppins Medium">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89AA" w14:textId="77777777" w:rsidR="002454A7" w:rsidRDefault="00794BC7" w:rsidP="002454A7">
    <w:pPr>
      <w:jc w:val="right"/>
      <w:rPr>
        <w:rFonts w:cs="Poppins"/>
        <w:color w:val="1C46C0" w:themeColor="accent1"/>
        <w:sz w:val="12"/>
        <w:szCs w:val="12"/>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3DF4388A" wp14:editId="59DC01FC">
          <wp:simplePos x="0" y="0"/>
          <wp:positionH relativeFrom="margin">
            <wp:align>left</wp:align>
          </wp:positionH>
          <wp:positionV relativeFrom="page">
            <wp:posOffset>9684196</wp:posOffset>
          </wp:positionV>
          <wp:extent cx="1407600" cy="460800"/>
          <wp:effectExtent l="0" t="0" r="2540" b="0"/>
          <wp:wrapNone/>
          <wp:docPr id="1869718968" name="Picture 1869718968"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0F1F1E" w14:textId="77777777" w:rsidR="002454A7" w:rsidRDefault="002454A7" w:rsidP="002454A7">
    <w:pPr>
      <w:jc w:val="right"/>
      <w:rPr>
        <w:rFonts w:cs="Poppins"/>
        <w:color w:val="1C46C0"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D70C" w14:textId="77777777" w:rsidR="007E43E7" w:rsidRDefault="007E43E7" w:rsidP="00E56F2A">
      <w:r>
        <w:separator/>
      </w:r>
    </w:p>
    <w:p w14:paraId="6A80C6AA" w14:textId="77777777" w:rsidR="007E43E7" w:rsidRDefault="007E43E7"/>
    <w:p w14:paraId="695269C2" w14:textId="77777777" w:rsidR="007E43E7" w:rsidRDefault="007E43E7"/>
  </w:footnote>
  <w:footnote w:type="continuationSeparator" w:id="0">
    <w:p w14:paraId="136CB867" w14:textId="77777777" w:rsidR="007E43E7" w:rsidRDefault="007E43E7" w:rsidP="00E56F2A">
      <w:r>
        <w:continuationSeparator/>
      </w:r>
    </w:p>
    <w:p w14:paraId="4CEAF845" w14:textId="77777777" w:rsidR="007E43E7" w:rsidRDefault="007E43E7"/>
    <w:p w14:paraId="6D435963" w14:textId="77777777" w:rsidR="007E43E7" w:rsidRDefault="007E43E7"/>
  </w:footnote>
  <w:footnote w:type="continuationNotice" w:id="1">
    <w:p w14:paraId="7E17131F" w14:textId="77777777" w:rsidR="007E43E7" w:rsidRDefault="007E43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1A263D"/>
    <w:multiLevelType w:val="hybridMultilevel"/>
    <w:tmpl w:val="36DA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50A1C"/>
    <w:multiLevelType w:val="hybridMultilevel"/>
    <w:tmpl w:val="1714C57C"/>
    <w:lvl w:ilvl="0" w:tplc="C018E114">
      <w:start w:val="1"/>
      <w:numFmt w:val="bullet"/>
      <w:lvlText w:val="•"/>
      <w:lvlJc w:val="left"/>
      <w:pPr>
        <w:tabs>
          <w:tab w:val="num" w:pos="720"/>
        </w:tabs>
        <w:ind w:left="720" w:hanging="360"/>
      </w:pPr>
      <w:rPr>
        <w:rFonts w:ascii="Arial" w:hAnsi="Arial" w:hint="default"/>
      </w:rPr>
    </w:lvl>
    <w:lvl w:ilvl="1" w:tplc="63DA02E4" w:tentative="1">
      <w:start w:val="1"/>
      <w:numFmt w:val="bullet"/>
      <w:lvlText w:val="•"/>
      <w:lvlJc w:val="left"/>
      <w:pPr>
        <w:tabs>
          <w:tab w:val="num" w:pos="1440"/>
        </w:tabs>
        <w:ind w:left="1440" w:hanging="360"/>
      </w:pPr>
      <w:rPr>
        <w:rFonts w:ascii="Arial" w:hAnsi="Arial" w:hint="default"/>
      </w:rPr>
    </w:lvl>
    <w:lvl w:ilvl="2" w:tplc="6584ED12" w:tentative="1">
      <w:start w:val="1"/>
      <w:numFmt w:val="bullet"/>
      <w:lvlText w:val="•"/>
      <w:lvlJc w:val="left"/>
      <w:pPr>
        <w:tabs>
          <w:tab w:val="num" w:pos="2160"/>
        </w:tabs>
        <w:ind w:left="2160" w:hanging="360"/>
      </w:pPr>
      <w:rPr>
        <w:rFonts w:ascii="Arial" w:hAnsi="Arial" w:hint="default"/>
      </w:rPr>
    </w:lvl>
    <w:lvl w:ilvl="3" w:tplc="891219D6" w:tentative="1">
      <w:start w:val="1"/>
      <w:numFmt w:val="bullet"/>
      <w:lvlText w:val="•"/>
      <w:lvlJc w:val="left"/>
      <w:pPr>
        <w:tabs>
          <w:tab w:val="num" w:pos="2880"/>
        </w:tabs>
        <w:ind w:left="2880" w:hanging="360"/>
      </w:pPr>
      <w:rPr>
        <w:rFonts w:ascii="Arial" w:hAnsi="Arial" w:hint="default"/>
      </w:rPr>
    </w:lvl>
    <w:lvl w:ilvl="4" w:tplc="95706ED8" w:tentative="1">
      <w:start w:val="1"/>
      <w:numFmt w:val="bullet"/>
      <w:lvlText w:val="•"/>
      <w:lvlJc w:val="left"/>
      <w:pPr>
        <w:tabs>
          <w:tab w:val="num" w:pos="3600"/>
        </w:tabs>
        <w:ind w:left="3600" w:hanging="360"/>
      </w:pPr>
      <w:rPr>
        <w:rFonts w:ascii="Arial" w:hAnsi="Arial" w:hint="default"/>
      </w:rPr>
    </w:lvl>
    <w:lvl w:ilvl="5" w:tplc="F214A0D6" w:tentative="1">
      <w:start w:val="1"/>
      <w:numFmt w:val="bullet"/>
      <w:lvlText w:val="•"/>
      <w:lvlJc w:val="left"/>
      <w:pPr>
        <w:tabs>
          <w:tab w:val="num" w:pos="4320"/>
        </w:tabs>
        <w:ind w:left="4320" w:hanging="360"/>
      </w:pPr>
      <w:rPr>
        <w:rFonts w:ascii="Arial" w:hAnsi="Arial" w:hint="default"/>
      </w:rPr>
    </w:lvl>
    <w:lvl w:ilvl="6" w:tplc="D06EBA32" w:tentative="1">
      <w:start w:val="1"/>
      <w:numFmt w:val="bullet"/>
      <w:lvlText w:val="•"/>
      <w:lvlJc w:val="left"/>
      <w:pPr>
        <w:tabs>
          <w:tab w:val="num" w:pos="5040"/>
        </w:tabs>
        <w:ind w:left="5040" w:hanging="360"/>
      </w:pPr>
      <w:rPr>
        <w:rFonts w:ascii="Arial" w:hAnsi="Arial" w:hint="default"/>
      </w:rPr>
    </w:lvl>
    <w:lvl w:ilvl="7" w:tplc="93D4A452" w:tentative="1">
      <w:start w:val="1"/>
      <w:numFmt w:val="bullet"/>
      <w:lvlText w:val="•"/>
      <w:lvlJc w:val="left"/>
      <w:pPr>
        <w:tabs>
          <w:tab w:val="num" w:pos="5760"/>
        </w:tabs>
        <w:ind w:left="5760" w:hanging="360"/>
      </w:pPr>
      <w:rPr>
        <w:rFonts w:ascii="Arial" w:hAnsi="Arial" w:hint="default"/>
      </w:rPr>
    </w:lvl>
    <w:lvl w:ilvl="8" w:tplc="6F56AD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270829"/>
    <w:multiLevelType w:val="hybridMultilevel"/>
    <w:tmpl w:val="0B32D82A"/>
    <w:lvl w:ilvl="0" w:tplc="4DD2D46A">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80254">
    <w:abstractNumId w:val="14"/>
  </w:num>
  <w:num w:numId="2" w16cid:durableId="506479939">
    <w:abstractNumId w:val="21"/>
  </w:num>
  <w:num w:numId="3" w16cid:durableId="656302263">
    <w:abstractNumId w:val="13"/>
  </w:num>
  <w:num w:numId="4" w16cid:durableId="2032536009">
    <w:abstractNumId w:val="23"/>
  </w:num>
  <w:num w:numId="5" w16cid:durableId="1649820289">
    <w:abstractNumId w:val="11"/>
  </w:num>
  <w:num w:numId="6" w16cid:durableId="93676811">
    <w:abstractNumId w:val="10"/>
  </w:num>
  <w:num w:numId="7" w16cid:durableId="243999073">
    <w:abstractNumId w:val="22"/>
  </w:num>
  <w:num w:numId="8" w16cid:durableId="2127576257">
    <w:abstractNumId w:val="17"/>
  </w:num>
  <w:num w:numId="9" w16cid:durableId="506020450">
    <w:abstractNumId w:val="24"/>
  </w:num>
  <w:num w:numId="10" w16cid:durableId="1620259026">
    <w:abstractNumId w:val="20"/>
  </w:num>
  <w:num w:numId="11" w16cid:durableId="1581284110">
    <w:abstractNumId w:val="9"/>
  </w:num>
  <w:num w:numId="12" w16cid:durableId="26567077">
    <w:abstractNumId w:val="7"/>
  </w:num>
  <w:num w:numId="13" w16cid:durableId="1861581637">
    <w:abstractNumId w:val="6"/>
  </w:num>
  <w:num w:numId="14" w16cid:durableId="427121759">
    <w:abstractNumId w:val="5"/>
  </w:num>
  <w:num w:numId="15" w16cid:durableId="265768927">
    <w:abstractNumId w:val="4"/>
  </w:num>
  <w:num w:numId="16" w16cid:durableId="1358694572">
    <w:abstractNumId w:val="8"/>
  </w:num>
  <w:num w:numId="17" w16cid:durableId="1530873754">
    <w:abstractNumId w:val="3"/>
  </w:num>
  <w:num w:numId="18" w16cid:durableId="1188905295">
    <w:abstractNumId w:val="2"/>
  </w:num>
  <w:num w:numId="19" w16cid:durableId="84957236">
    <w:abstractNumId w:val="1"/>
  </w:num>
  <w:num w:numId="20" w16cid:durableId="1537231762">
    <w:abstractNumId w:val="0"/>
  </w:num>
  <w:num w:numId="21" w16cid:durableId="523445340">
    <w:abstractNumId w:val="18"/>
  </w:num>
  <w:num w:numId="22" w16cid:durableId="1968966118">
    <w:abstractNumId w:val="15"/>
  </w:num>
  <w:num w:numId="23" w16cid:durableId="2023391191">
    <w:abstractNumId w:val="12"/>
  </w:num>
  <w:num w:numId="24" w16cid:durableId="1449160282">
    <w:abstractNumId w:val="16"/>
  </w:num>
  <w:num w:numId="25" w16cid:durableId="17432157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61"/>
    <w:rsid w:val="0000332F"/>
    <w:rsid w:val="000053BB"/>
    <w:rsid w:val="00023D46"/>
    <w:rsid w:val="000248EB"/>
    <w:rsid w:val="000362A2"/>
    <w:rsid w:val="00045208"/>
    <w:rsid w:val="000532F2"/>
    <w:rsid w:val="0005708F"/>
    <w:rsid w:val="000576F8"/>
    <w:rsid w:val="000606C6"/>
    <w:rsid w:val="00061D05"/>
    <w:rsid w:val="00062696"/>
    <w:rsid w:val="00082416"/>
    <w:rsid w:val="00087BA6"/>
    <w:rsid w:val="00097B3C"/>
    <w:rsid w:val="00097FD0"/>
    <w:rsid w:val="000A39EE"/>
    <w:rsid w:val="000A4888"/>
    <w:rsid w:val="000A584F"/>
    <w:rsid w:val="000A5F83"/>
    <w:rsid w:val="000B0F4D"/>
    <w:rsid w:val="000B3A2A"/>
    <w:rsid w:val="000B45AE"/>
    <w:rsid w:val="000C27AA"/>
    <w:rsid w:val="000C56C0"/>
    <w:rsid w:val="000D0223"/>
    <w:rsid w:val="000D2546"/>
    <w:rsid w:val="000E2A13"/>
    <w:rsid w:val="000E5A70"/>
    <w:rsid w:val="000F29D0"/>
    <w:rsid w:val="00107882"/>
    <w:rsid w:val="00114678"/>
    <w:rsid w:val="0011588C"/>
    <w:rsid w:val="0013290F"/>
    <w:rsid w:val="001342DA"/>
    <w:rsid w:val="00140B0A"/>
    <w:rsid w:val="00141F8C"/>
    <w:rsid w:val="00152B07"/>
    <w:rsid w:val="00160E08"/>
    <w:rsid w:val="001611F0"/>
    <w:rsid w:val="00163459"/>
    <w:rsid w:val="00164D61"/>
    <w:rsid w:val="001716B7"/>
    <w:rsid w:val="001717A3"/>
    <w:rsid w:val="00172E5A"/>
    <w:rsid w:val="00175B8F"/>
    <w:rsid w:val="001779B7"/>
    <w:rsid w:val="00177D14"/>
    <w:rsid w:val="0018375C"/>
    <w:rsid w:val="00184D5B"/>
    <w:rsid w:val="001929BB"/>
    <w:rsid w:val="001A4922"/>
    <w:rsid w:val="001C1A0F"/>
    <w:rsid w:val="001C4BEC"/>
    <w:rsid w:val="001D1F1C"/>
    <w:rsid w:val="001D5F1F"/>
    <w:rsid w:val="001E47F1"/>
    <w:rsid w:val="001E4E31"/>
    <w:rsid w:val="001E6686"/>
    <w:rsid w:val="001F1198"/>
    <w:rsid w:val="001F4867"/>
    <w:rsid w:val="001F5DB1"/>
    <w:rsid w:val="001F5FF3"/>
    <w:rsid w:val="00206A23"/>
    <w:rsid w:val="00213649"/>
    <w:rsid w:val="0021528B"/>
    <w:rsid w:val="0022594A"/>
    <w:rsid w:val="0024175A"/>
    <w:rsid w:val="00243064"/>
    <w:rsid w:val="002454A7"/>
    <w:rsid w:val="00252B33"/>
    <w:rsid w:val="00255163"/>
    <w:rsid w:val="00267090"/>
    <w:rsid w:val="0027587F"/>
    <w:rsid w:val="002821FA"/>
    <w:rsid w:val="00285874"/>
    <w:rsid w:val="00291D94"/>
    <w:rsid w:val="002943C0"/>
    <w:rsid w:val="0029688D"/>
    <w:rsid w:val="002B6B58"/>
    <w:rsid w:val="002C6CDA"/>
    <w:rsid w:val="002D1128"/>
    <w:rsid w:val="002D2164"/>
    <w:rsid w:val="002E3326"/>
    <w:rsid w:val="002F7D08"/>
    <w:rsid w:val="00300689"/>
    <w:rsid w:val="00306372"/>
    <w:rsid w:val="003116F8"/>
    <w:rsid w:val="00315405"/>
    <w:rsid w:val="00327188"/>
    <w:rsid w:val="003337D0"/>
    <w:rsid w:val="003425C1"/>
    <w:rsid w:val="00342FAF"/>
    <w:rsid w:val="00346006"/>
    <w:rsid w:val="00352689"/>
    <w:rsid w:val="00355EC2"/>
    <w:rsid w:val="003613A4"/>
    <w:rsid w:val="00370CCC"/>
    <w:rsid w:val="00371B3B"/>
    <w:rsid w:val="0037457E"/>
    <w:rsid w:val="00375EBB"/>
    <w:rsid w:val="00377EF2"/>
    <w:rsid w:val="00382B07"/>
    <w:rsid w:val="0038534D"/>
    <w:rsid w:val="003945A9"/>
    <w:rsid w:val="003A4BEB"/>
    <w:rsid w:val="003A50F2"/>
    <w:rsid w:val="003A7FC8"/>
    <w:rsid w:val="003B5D3F"/>
    <w:rsid w:val="003C2591"/>
    <w:rsid w:val="003C5F48"/>
    <w:rsid w:val="003C6FE5"/>
    <w:rsid w:val="003D566B"/>
    <w:rsid w:val="003E028A"/>
    <w:rsid w:val="003E5C11"/>
    <w:rsid w:val="003E60FB"/>
    <w:rsid w:val="003E71F1"/>
    <w:rsid w:val="00401DD6"/>
    <w:rsid w:val="0041030D"/>
    <w:rsid w:val="004108E3"/>
    <w:rsid w:val="00420688"/>
    <w:rsid w:val="00425006"/>
    <w:rsid w:val="00425FB3"/>
    <w:rsid w:val="00431D7D"/>
    <w:rsid w:val="00434CC6"/>
    <w:rsid w:val="00446908"/>
    <w:rsid w:val="00450049"/>
    <w:rsid w:val="00452AFA"/>
    <w:rsid w:val="00462E1A"/>
    <w:rsid w:val="004676E8"/>
    <w:rsid w:val="0046778C"/>
    <w:rsid w:val="00473E4C"/>
    <w:rsid w:val="00484C7B"/>
    <w:rsid w:val="00485374"/>
    <w:rsid w:val="00485946"/>
    <w:rsid w:val="00485FDE"/>
    <w:rsid w:val="00490259"/>
    <w:rsid w:val="00492873"/>
    <w:rsid w:val="00494B1E"/>
    <w:rsid w:val="0049699C"/>
    <w:rsid w:val="004A3421"/>
    <w:rsid w:val="004B1364"/>
    <w:rsid w:val="004C3923"/>
    <w:rsid w:val="004C58A9"/>
    <w:rsid w:val="004C698B"/>
    <w:rsid w:val="004D2060"/>
    <w:rsid w:val="004E3C30"/>
    <w:rsid w:val="004F4BC3"/>
    <w:rsid w:val="004F5ED8"/>
    <w:rsid w:val="004F6241"/>
    <w:rsid w:val="005008CA"/>
    <w:rsid w:val="005032BD"/>
    <w:rsid w:val="00506BEF"/>
    <w:rsid w:val="005221D5"/>
    <w:rsid w:val="00524BE8"/>
    <w:rsid w:val="00527AB1"/>
    <w:rsid w:val="0053782B"/>
    <w:rsid w:val="0054303F"/>
    <w:rsid w:val="005463F8"/>
    <w:rsid w:val="005465A6"/>
    <w:rsid w:val="00547D39"/>
    <w:rsid w:val="00552AE6"/>
    <w:rsid w:val="00566AB1"/>
    <w:rsid w:val="005677C8"/>
    <w:rsid w:val="0056784B"/>
    <w:rsid w:val="005702FE"/>
    <w:rsid w:val="00570EB2"/>
    <w:rsid w:val="00572490"/>
    <w:rsid w:val="00591981"/>
    <w:rsid w:val="00591C50"/>
    <w:rsid w:val="00592465"/>
    <w:rsid w:val="005A17B8"/>
    <w:rsid w:val="005A2C64"/>
    <w:rsid w:val="005A4F4C"/>
    <w:rsid w:val="005A5AA2"/>
    <w:rsid w:val="005B01F9"/>
    <w:rsid w:val="005B0A1C"/>
    <w:rsid w:val="005B296F"/>
    <w:rsid w:val="005B6B3F"/>
    <w:rsid w:val="005B71C0"/>
    <w:rsid w:val="005C5EDE"/>
    <w:rsid w:val="005C5FB6"/>
    <w:rsid w:val="005C7AB2"/>
    <w:rsid w:val="005D5EB8"/>
    <w:rsid w:val="005E1541"/>
    <w:rsid w:val="005E3FDB"/>
    <w:rsid w:val="005E6CAC"/>
    <w:rsid w:val="005F7157"/>
    <w:rsid w:val="00600207"/>
    <w:rsid w:val="00600CF4"/>
    <w:rsid w:val="00605DBA"/>
    <w:rsid w:val="00607E41"/>
    <w:rsid w:val="0062028E"/>
    <w:rsid w:val="00623426"/>
    <w:rsid w:val="00632DFB"/>
    <w:rsid w:val="006367D3"/>
    <w:rsid w:val="006372A5"/>
    <w:rsid w:val="00645C29"/>
    <w:rsid w:val="00647876"/>
    <w:rsid w:val="00647A03"/>
    <w:rsid w:val="00650B77"/>
    <w:rsid w:val="00652BA2"/>
    <w:rsid w:val="006615CD"/>
    <w:rsid w:val="00672D83"/>
    <w:rsid w:val="00683065"/>
    <w:rsid w:val="00686697"/>
    <w:rsid w:val="006868C3"/>
    <w:rsid w:val="00695064"/>
    <w:rsid w:val="00697980"/>
    <w:rsid w:val="006A00E6"/>
    <w:rsid w:val="006A056C"/>
    <w:rsid w:val="006C0089"/>
    <w:rsid w:val="006C6853"/>
    <w:rsid w:val="006E4744"/>
    <w:rsid w:val="006E4D57"/>
    <w:rsid w:val="006E71E3"/>
    <w:rsid w:val="006E72BD"/>
    <w:rsid w:val="006E7944"/>
    <w:rsid w:val="00710D2E"/>
    <w:rsid w:val="0071494D"/>
    <w:rsid w:val="007160FA"/>
    <w:rsid w:val="00717E5F"/>
    <w:rsid w:val="00722516"/>
    <w:rsid w:val="00725708"/>
    <w:rsid w:val="00732AFE"/>
    <w:rsid w:val="0074751D"/>
    <w:rsid w:val="007537DD"/>
    <w:rsid w:val="00756CB6"/>
    <w:rsid w:val="0076553A"/>
    <w:rsid w:val="007673CA"/>
    <w:rsid w:val="00783A18"/>
    <w:rsid w:val="00786C88"/>
    <w:rsid w:val="007924E6"/>
    <w:rsid w:val="00794BC7"/>
    <w:rsid w:val="007959EE"/>
    <w:rsid w:val="00797436"/>
    <w:rsid w:val="007B00C3"/>
    <w:rsid w:val="007D54FF"/>
    <w:rsid w:val="007D6E73"/>
    <w:rsid w:val="007E040D"/>
    <w:rsid w:val="007E255B"/>
    <w:rsid w:val="007E346B"/>
    <w:rsid w:val="007E3D4B"/>
    <w:rsid w:val="007E43E7"/>
    <w:rsid w:val="007F595E"/>
    <w:rsid w:val="00800B2B"/>
    <w:rsid w:val="00810DA3"/>
    <w:rsid w:val="008122B1"/>
    <w:rsid w:val="008203F7"/>
    <w:rsid w:val="00832843"/>
    <w:rsid w:val="00841C35"/>
    <w:rsid w:val="0084524B"/>
    <w:rsid w:val="00846D8B"/>
    <w:rsid w:val="00853917"/>
    <w:rsid w:val="00861A5A"/>
    <w:rsid w:val="00865EE4"/>
    <w:rsid w:val="00867E27"/>
    <w:rsid w:val="00871560"/>
    <w:rsid w:val="008729A7"/>
    <w:rsid w:val="008856B6"/>
    <w:rsid w:val="00891DC3"/>
    <w:rsid w:val="008B1472"/>
    <w:rsid w:val="008B16A5"/>
    <w:rsid w:val="008B2D46"/>
    <w:rsid w:val="008C174F"/>
    <w:rsid w:val="008C3887"/>
    <w:rsid w:val="008C4242"/>
    <w:rsid w:val="008C7A64"/>
    <w:rsid w:val="008D1325"/>
    <w:rsid w:val="008D49AA"/>
    <w:rsid w:val="008E0CE0"/>
    <w:rsid w:val="008E1BD7"/>
    <w:rsid w:val="008E7BD5"/>
    <w:rsid w:val="008F4619"/>
    <w:rsid w:val="00900E1E"/>
    <w:rsid w:val="00902709"/>
    <w:rsid w:val="0090492E"/>
    <w:rsid w:val="00906DDD"/>
    <w:rsid w:val="00911320"/>
    <w:rsid w:val="00914C9D"/>
    <w:rsid w:val="00920228"/>
    <w:rsid w:val="0092605D"/>
    <w:rsid w:val="009314AA"/>
    <w:rsid w:val="0094712E"/>
    <w:rsid w:val="00950DF2"/>
    <w:rsid w:val="00951A3B"/>
    <w:rsid w:val="00965526"/>
    <w:rsid w:val="00967951"/>
    <w:rsid w:val="0098321C"/>
    <w:rsid w:val="009838FC"/>
    <w:rsid w:val="00984CEA"/>
    <w:rsid w:val="0098763A"/>
    <w:rsid w:val="0099363C"/>
    <w:rsid w:val="0099445F"/>
    <w:rsid w:val="00994C83"/>
    <w:rsid w:val="009A010B"/>
    <w:rsid w:val="009A39E7"/>
    <w:rsid w:val="009A4F93"/>
    <w:rsid w:val="009A6F00"/>
    <w:rsid w:val="009B761F"/>
    <w:rsid w:val="009C4F3F"/>
    <w:rsid w:val="009C65B3"/>
    <w:rsid w:val="009D75AD"/>
    <w:rsid w:val="009E02CE"/>
    <w:rsid w:val="009E21ED"/>
    <w:rsid w:val="009E2581"/>
    <w:rsid w:val="009E2BFF"/>
    <w:rsid w:val="009E3C8F"/>
    <w:rsid w:val="009E5359"/>
    <w:rsid w:val="009E5B69"/>
    <w:rsid w:val="009F3F5E"/>
    <w:rsid w:val="009F5D70"/>
    <w:rsid w:val="009F6228"/>
    <w:rsid w:val="009F718B"/>
    <w:rsid w:val="00A0382C"/>
    <w:rsid w:val="00A046D5"/>
    <w:rsid w:val="00A202CC"/>
    <w:rsid w:val="00A26E97"/>
    <w:rsid w:val="00A3681E"/>
    <w:rsid w:val="00A37306"/>
    <w:rsid w:val="00A37DE6"/>
    <w:rsid w:val="00A4684B"/>
    <w:rsid w:val="00A60743"/>
    <w:rsid w:val="00A64915"/>
    <w:rsid w:val="00A66BD8"/>
    <w:rsid w:val="00A70340"/>
    <w:rsid w:val="00A905FE"/>
    <w:rsid w:val="00A91BDE"/>
    <w:rsid w:val="00A96D09"/>
    <w:rsid w:val="00A97F63"/>
    <w:rsid w:val="00AA050F"/>
    <w:rsid w:val="00AA6189"/>
    <w:rsid w:val="00AA6F6B"/>
    <w:rsid w:val="00AB39AE"/>
    <w:rsid w:val="00AB56E2"/>
    <w:rsid w:val="00AC447C"/>
    <w:rsid w:val="00AD39EC"/>
    <w:rsid w:val="00AD48BD"/>
    <w:rsid w:val="00AD7BD2"/>
    <w:rsid w:val="00AE0FBA"/>
    <w:rsid w:val="00AE1747"/>
    <w:rsid w:val="00AE2E83"/>
    <w:rsid w:val="00AE2FB5"/>
    <w:rsid w:val="00AE5A5A"/>
    <w:rsid w:val="00AE7503"/>
    <w:rsid w:val="00AE7F6C"/>
    <w:rsid w:val="00AF1D95"/>
    <w:rsid w:val="00B001D1"/>
    <w:rsid w:val="00B02BEA"/>
    <w:rsid w:val="00B05E9F"/>
    <w:rsid w:val="00B17B89"/>
    <w:rsid w:val="00B23026"/>
    <w:rsid w:val="00B2667E"/>
    <w:rsid w:val="00B31FBC"/>
    <w:rsid w:val="00B324B3"/>
    <w:rsid w:val="00B41C54"/>
    <w:rsid w:val="00B43D23"/>
    <w:rsid w:val="00B5434B"/>
    <w:rsid w:val="00B54730"/>
    <w:rsid w:val="00B5625A"/>
    <w:rsid w:val="00B61328"/>
    <w:rsid w:val="00B630FC"/>
    <w:rsid w:val="00B73493"/>
    <w:rsid w:val="00B76881"/>
    <w:rsid w:val="00B82252"/>
    <w:rsid w:val="00B82E7F"/>
    <w:rsid w:val="00B9053B"/>
    <w:rsid w:val="00B90ACC"/>
    <w:rsid w:val="00B90B45"/>
    <w:rsid w:val="00B95F47"/>
    <w:rsid w:val="00BA51FD"/>
    <w:rsid w:val="00BA63F2"/>
    <w:rsid w:val="00BB137D"/>
    <w:rsid w:val="00BB1786"/>
    <w:rsid w:val="00BB4426"/>
    <w:rsid w:val="00BB4AD3"/>
    <w:rsid w:val="00BC251D"/>
    <w:rsid w:val="00BD4A69"/>
    <w:rsid w:val="00BD4F3A"/>
    <w:rsid w:val="00BE6BD9"/>
    <w:rsid w:val="00BE7904"/>
    <w:rsid w:val="00BF27FA"/>
    <w:rsid w:val="00BF4723"/>
    <w:rsid w:val="00C01008"/>
    <w:rsid w:val="00C059F7"/>
    <w:rsid w:val="00C078C4"/>
    <w:rsid w:val="00C10ACE"/>
    <w:rsid w:val="00C17DC4"/>
    <w:rsid w:val="00C20F0A"/>
    <w:rsid w:val="00C24CF9"/>
    <w:rsid w:val="00C311EF"/>
    <w:rsid w:val="00C31BC3"/>
    <w:rsid w:val="00C4400E"/>
    <w:rsid w:val="00C55B6E"/>
    <w:rsid w:val="00C6456C"/>
    <w:rsid w:val="00C64616"/>
    <w:rsid w:val="00C709D0"/>
    <w:rsid w:val="00C70B8E"/>
    <w:rsid w:val="00C71BF8"/>
    <w:rsid w:val="00C723E2"/>
    <w:rsid w:val="00C7359A"/>
    <w:rsid w:val="00C74B66"/>
    <w:rsid w:val="00C7679A"/>
    <w:rsid w:val="00C8086C"/>
    <w:rsid w:val="00C809C7"/>
    <w:rsid w:val="00C82DAF"/>
    <w:rsid w:val="00C949A8"/>
    <w:rsid w:val="00CA2DD1"/>
    <w:rsid w:val="00CA5F81"/>
    <w:rsid w:val="00CB3CFD"/>
    <w:rsid w:val="00CB4936"/>
    <w:rsid w:val="00CB4B0E"/>
    <w:rsid w:val="00CB5D92"/>
    <w:rsid w:val="00CB5E58"/>
    <w:rsid w:val="00CE3462"/>
    <w:rsid w:val="00D00A84"/>
    <w:rsid w:val="00D03ECE"/>
    <w:rsid w:val="00D10F78"/>
    <w:rsid w:val="00D125F6"/>
    <w:rsid w:val="00D12DC1"/>
    <w:rsid w:val="00D14691"/>
    <w:rsid w:val="00D17209"/>
    <w:rsid w:val="00D27CD9"/>
    <w:rsid w:val="00D40661"/>
    <w:rsid w:val="00D40BE9"/>
    <w:rsid w:val="00D50AE6"/>
    <w:rsid w:val="00D544E5"/>
    <w:rsid w:val="00D62B53"/>
    <w:rsid w:val="00D62E6B"/>
    <w:rsid w:val="00D6605E"/>
    <w:rsid w:val="00D70F72"/>
    <w:rsid w:val="00D75F02"/>
    <w:rsid w:val="00D81C7A"/>
    <w:rsid w:val="00D83CA6"/>
    <w:rsid w:val="00D92E73"/>
    <w:rsid w:val="00D95DC5"/>
    <w:rsid w:val="00DA29CE"/>
    <w:rsid w:val="00DA3057"/>
    <w:rsid w:val="00DA6736"/>
    <w:rsid w:val="00DA6C9B"/>
    <w:rsid w:val="00DB2D6B"/>
    <w:rsid w:val="00DB6D4C"/>
    <w:rsid w:val="00DC0A67"/>
    <w:rsid w:val="00DC1981"/>
    <w:rsid w:val="00DD2F87"/>
    <w:rsid w:val="00DD54D0"/>
    <w:rsid w:val="00DE0C5F"/>
    <w:rsid w:val="00DE0F7F"/>
    <w:rsid w:val="00DF0812"/>
    <w:rsid w:val="00DF466C"/>
    <w:rsid w:val="00DF7CE8"/>
    <w:rsid w:val="00E304A7"/>
    <w:rsid w:val="00E42A20"/>
    <w:rsid w:val="00E4358B"/>
    <w:rsid w:val="00E4678C"/>
    <w:rsid w:val="00E5026A"/>
    <w:rsid w:val="00E517A0"/>
    <w:rsid w:val="00E56F2A"/>
    <w:rsid w:val="00E6434D"/>
    <w:rsid w:val="00E67EE3"/>
    <w:rsid w:val="00E7012E"/>
    <w:rsid w:val="00E75D66"/>
    <w:rsid w:val="00E8010C"/>
    <w:rsid w:val="00E82897"/>
    <w:rsid w:val="00E828C7"/>
    <w:rsid w:val="00E8397F"/>
    <w:rsid w:val="00E906A6"/>
    <w:rsid w:val="00E94D1C"/>
    <w:rsid w:val="00E95167"/>
    <w:rsid w:val="00E961FB"/>
    <w:rsid w:val="00EA413F"/>
    <w:rsid w:val="00EB30E1"/>
    <w:rsid w:val="00EC4870"/>
    <w:rsid w:val="00EC597A"/>
    <w:rsid w:val="00EC59D7"/>
    <w:rsid w:val="00ED2439"/>
    <w:rsid w:val="00ED2D97"/>
    <w:rsid w:val="00EE207F"/>
    <w:rsid w:val="00EE6890"/>
    <w:rsid w:val="00EE7D39"/>
    <w:rsid w:val="00F06956"/>
    <w:rsid w:val="00F10175"/>
    <w:rsid w:val="00F11D91"/>
    <w:rsid w:val="00F21EB9"/>
    <w:rsid w:val="00F3790F"/>
    <w:rsid w:val="00F37FA1"/>
    <w:rsid w:val="00F40504"/>
    <w:rsid w:val="00F431F0"/>
    <w:rsid w:val="00F44563"/>
    <w:rsid w:val="00F56CBF"/>
    <w:rsid w:val="00F62661"/>
    <w:rsid w:val="00F66B82"/>
    <w:rsid w:val="00F66ECD"/>
    <w:rsid w:val="00F70065"/>
    <w:rsid w:val="00F76CE6"/>
    <w:rsid w:val="00F85FF3"/>
    <w:rsid w:val="00F91D38"/>
    <w:rsid w:val="00FA16F6"/>
    <w:rsid w:val="00FA26C7"/>
    <w:rsid w:val="00FB370B"/>
    <w:rsid w:val="00FB4841"/>
    <w:rsid w:val="00FC588D"/>
    <w:rsid w:val="00FD22D0"/>
    <w:rsid w:val="00FD25A0"/>
    <w:rsid w:val="00FD25BD"/>
    <w:rsid w:val="00FD7882"/>
    <w:rsid w:val="00FE56D7"/>
    <w:rsid w:val="00FE5A50"/>
    <w:rsid w:val="00FF6D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30CA0"/>
  <w15:chartTrackingRefBased/>
  <w15:docId w15:val="{CBBE9498-135A-435B-BFB1-781553F2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basedOn w:val="Normal"/>
    <w:next w:val="Normal"/>
    <w:link w:val="Heading1Char"/>
    <w:uiPriority w:val="9"/>
    <w:qFormat/>
    <w:rsid w:val="00794BC7"/>
    <w:pPr>
      <w:spacing w:after="360" w:line="173" w:lineRule="auto"/>
      <w:outlineLvl w:val="0"/>
    </w:pPr>
    <w:rPr>
      <w:rFonts w:cs="Poppins"/>
      <w:b/>
      <w:bCs/>
      <w:color w:val="060645" w:themeColor="text1"/>
      <w:sz w:val="120"/>
      <w:szCs w:val="120"/>
    </w:rPr>
  </w:style>
  <w:style w:type="paragraph" w:styleId="Heading2">
    <w:name w:val="heading 2"/>
    <w:basedOn w:val="AccessibilityGuidanceNotes"/>
    <w:next w:val="Normal"/>
    <w:link w:val="Heading2Char"/>
    <w:uiPriority w:val="9"/>
    <w:unhideWhenUsed/>
    <w:qFormat/>
    <w:rsid w:val="00794BC7"/>
    <w:pPr>
      <w:spacing w:after="240"/>
      <w:outlineLvl w:val="1"/>
    </w:p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794BC7"/>
    <w:pPr>
      <w:spacing w:line="360" w:lineRule="auto"/>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basedOn w:val="DefaultParagraphFont"/>
    <w:uiPriority w:val="99"/>
    <w:unhideWhenUsed/>
    <w:rsid w:val="00794BC7"/>
    <w:rPr>
      <w:b/>
      <w:bCs/>
      <w:color w:val="060645"/>
      <w:sz w:val="24"/>
    </w:rPr>
  </w:style>
  <w:style w:type="character" w:customStyle="1" w:styleId="Heading4Char">
    <w:name w:val="Heading 4 Char"/>
    <w:basedOn w:val="DefaultParagraphFont"/>
    <w:link w:val="Heading4"/>
    <w:uiPriority w:val="9"/>
    <w:rsid w:val="00794BC7"/>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4"/>
      </w:numPr>
      <w:spacing w:before="120" w:after="120"/>
      <w:contextualSpacing/>
    </w:pPr>
    <w:rPr>
      <w:rFonts w:cs="Poppins"/>
      <w:szCs w:val="20"/>
    </w:rPr>
  </w:style>
  <w:style w:type="character" w:customStyle="1" w:styleId="Heading1Char">
    <w:name w:val="Heading 1 Char"/>
    <w:basedOn w:val="DefaultParagraphFont"/>
    <w:link w:val="Heading1"/>
    <w:uiPriority w:val="9"/>
    <w:rsid w:val="00794BC7"/>
    <w:rPr>
      <w:rFonts w:ascii="Poppins" w:eastAsia="Times New Roman" w:hAnsi="Poppins" w:cs="Poppins"/>
      <w:b/>
      <w:bCs/>
      <w:color w:val="060645" w:themeColor="text1"/>
      <w:sz w:val="120"/>
      <w:szCs w:val="120"/>
      <w:lang w:eastAsia="en-GB"/>
    </w:rPr>
  </w:style>
  <w:style w:type="character" w:customStyle="1" w:styleId="Heading2Char">
    <w:name w:val="Heading 2 Char"/>
    <w:basedOn w:val="DefaultParagraphFont"/>
    <w:link w:val="Heading2"/>
    <w:uiPriority w:val="9"/>
    <w:rsid w:val="00794BC7"/>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styleId="Index1">
    <w:name w:val="index 1"/>
    <w:basedOn w:val="Normal"/>
    <w:next w:val="Normal"/>
    <w:autoRedefine/>
    <w:uiPriority w:val="99"/>
    <w:unhideWhenUsed/>
    <w:rsid w:val="00794BC7"/>
    <w:pPr>
      <w:spacing w:after="0" w:line="240" w:lineRule="auto"/>
      <w:ind w:left="240" w:hanging="240"/>
    </w:pPr>
  </w:style>
  <w:style w:type="paragraph" w:customStyle="1" w:styleId="Coversublinetitle">
    <w:name w:val="Cover subline title"/>
    <w:basedOn w:val="Normal"/>
    <w:qFormat/>
    <w:rsid w:val="00794BC7"/>
    <w:rPr>
      <w:b/>
      <w:bCs/>
      <w:color w:val="060645" w:themeColor="text1"/>
      <w:sz w:val="40"/>
      <w:szCs w:val="40"/>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A66BD8"/>
    <w:pPr>
      <w:spacing w:before="0"/>
      <w:ind w:left="714" w:hanging="357"/>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A66BD8"/>
    <w:rPr>
      <w:rFonts w:ascii="Poppins" w:eastAsia="Times New Roman" w:hAnsi="Poppins" w:cs="Poppins"/>
      <w:color w:val="060645"/>
      <w:sz w:val="20"/>
      <w:szCs w:val="20"/>
      <w:lang w:eastAsia="en-GB"/>
    </w:rPr>
  </w:style>
  <w:style w:type="paragraph" w:styleId="TOC1">
    <w:name w:val="toc 1"/>
    <w:next w:val="Normal"/>
    <w:autoRedefine/>
    <w:uiPriority w:val="39"/>
    <w:unhideWhenUsed/>
    <w:rsid w:val="00794BC7"/>
    <w:pPr>
      <w:tabs>
        <w:tab w:val="right" w:pos="9622"/>
      </w:tabs>
      <w:spacing w:after="240"/>
    </w:pPr>
    <w:rPr>
      <w:rFonts w:ascii="Poppins" w:eastAsia="Times New Roman" w:hAnsi="Poppins" w:cs="Poppins"/>
      <w:b/>
      <w:color w:val="060645"/>
      <w:sz w:val="32"/>
      <w:szCs w:val="20"/>
      <w:lang w:eastAsia="en-GB"/>
    </w:rPr>
  </w:style>
  <w:style w:type="paragraph" w:styleId="TOC2">
    <w:name w:val="toc 2"/>
    <w:next w:val="Normal"/>
    <w:autoRedefine/>
    <w:uiPriority w:val="39"/>
    <w:unhideWhenUsed/>
    <w:rsid w:val="00794BC7"/>
    <w:pPr>
      <w:spacing w:after="240"/>
      <w:ind w:left="284"/>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794BC7"/>
    <w:pPr>
      <w:spacing w:after="240"/>
      <w:ind w:left="567"/>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F66B82"/>
    <w:rPr>
      <w:color w:val="2B579A"/>
      <w:shd w:val="clear" w:color="auto" w:fill="E1DFDD"/>
    </w:rPr>
  </w:style>
  <w:style w:type="table" w:styleId="GridTable1Light">
    <w:name w:val="Grid Table 1 Light"/>
    <w:basedOn w:val="TableNormal"/>
    <w:uiPriority w:val="46"/>
    <w:rsid w:val="00867E27"/>
    <w:tblPr>
      <w:tblStyleRowBandSize w:val="1"/>
      <w:tblStyleColBandSize w:val="1"/>
      <w:tblBorders>
        <w:top w:val="single" w:sz="4" w:space="0" w:color="5E5EF1" w:themeColor="text1" w:themeTint="66"/>
        <w:left w:val="single" w:sz="4" w:space="0" w:color="5E5EF1" w:themeColor="text1" w:themeTint="66"/>
        <w:bottom w:val="single" w:sz="4" w:space="0" w:color="5E5EF1" w:themeColor="text1" w:themeTint="66"/>
        <w:right w:val="single" w:sz="4" w:space="0" w:color="5E5EF1" w:themeColor="text1" w:themeTint="66"/>
        <w:insideH w:val="single" w:sz="4" w:space="0" w:color="5E5EF1" w:themeColor="text1" w:themeTint="66"/>
        <w:insideV w:val="single" w:sz="4" w:space="0" w:color="5E5EF1" w:themeColor="text1" w:themeTint="66"/>
      </w:tblBorders>
    </w:tblPr>
    <w:tblStylePr w:type="firstRow">
      <w:rPr>
        <w:b/>
        <w:bCs/>
      </w:rPr>
      <w:tblPr/>
      <w:tcPr>
        <w:tcBorders>
          <w:bottom w:val="single" w:sz="12" w:space="0" w:color="1414E5" w:themeColor="text1" w:themeTint="99"/>
        </w:tcBorders>
      </w:tcPr>
    </w:tblStylePr>
    <w:tblStylePr w:type="lastRow">
      <w:rPr>
        <w:b/>
        <w:bCs/>
      </w:rPr>
      <w:tblPr/>
      <w:tcPr>
        <w:tcBorders>
          <w:top w:val="double" w:sz="2" w:space="0" w:color="1414E5" w:themeColor="text1" w:themeTint="99"/>
        </w:tcBorders>
      </w:tcPr>
    </w:tblStylePr>
    <w:tblStylePr w:type="firstCol">
      <w:rPr>
        <w:b/>
        <w:bCs/>
      </w:rPr>
    </w:tblStylePr>
    <w:tblStylePr w:type="lastCol">
      <w:rPr>
        <w:b/>
        <w:bCs/>
      </w:rPr>
    </w:tblStylePr>
  </w:style>
  <w:style w:type="table" w:styleId="ListTable4">
    <w:name w:val="List Table 4"/>
    <w:basedOn w:val="TableNormal"/>
    <w:uiPriority w:val="49"/>
    <w:rsid w:val="00867E27"/>
    <w:tblPr>
      <w:tblStyleRowBandSize w:val="1"/>
      <w:tblStyleColBandSize w:val="1"/>
      <w:tblBorders>
        <w:top w:val="single" w:sz="4" w:space="0" w:color="1414E5" w:themeColor="text1" w:themeTint="99"/>
        <w:left w:val="single" w:sz="4" w:space="0" w:color="1414E5" w:themeColor="text1" w:themeTint="99"/>
        <w:bottom w:val="single" w:sz="4" w:space="0" w:color="1414E5" w:themeColor="text1" w:themeTint="99"/>
        <w:right w:val="single" w:sz="4" w:space="0" w:color="1414E5" w:themeColor="text1" w:themeTint="99"/>
        <w:insideH w:val="single" w:sz="4" w:space="0" w:color="1414E5" w:themeColor="text1" w:themeTint="99"/>
      </w:tblBorders>
    </w:tblPr>
    <w:tblStylePr w:type="firstRow">
      <w:rPr>
        <w:b/>
        <w:bCs/>
        <w:color w:val="FFFFFF" w:themeColor="background1"/>
      </w:rPr>
      <w:tblPr/>
      <w:tcPr>
        <w:tcBorders>
          <w:top w:val="single" w:sz="4" w:space="0" w:color="060645" w:themeColor="text1"/>
          <w:left w:val="single" w:sz="4" w:space="0" w:color="060645" w:themeColor="text1"/>
          <w:bottom w:val="single" w:sz="4" w:space="0" w:color="060645" w:themeColor="text1"/>
          <w:right w:val="single" w:sz="4" w:space="0" w:color="060645" w:themeColor="text1"/>
          <w:insideH w:val="nil"/>
        </w:tcBorders>
        <w:shd w:val="clear" w:color="auto" w:fill="060645" w:themeFill="text1"/>
      </w:tcPr>
    </w:tblStylePr>
    <w:tblStylePr w:type="lastRow">
      <w:rPr>
        <w:b/>
        <w:bCs/>
      </w:rPr>
      <w:tblPr/>
      <w:tcPr>
        <w:tcBorders>
          <w:top w:val="double" w:sz="4" w:space="0" w:color="1414E5" w:themeColor="text1" w:themeTint="99"/>
        </w:tcBorders>
      </w:tcPr>
    </w:tblStylePr>
    <w:tblStylePr w:type="firstCol">
      <w:rPr>
        <w:b/>
        <w:bCs/>
      </w:rPr>
    </w:tblStylePr>
    <w:tblStylePr w:type="lastCol">
      <w:rPr>
        <w:b/>
        <w:bCs/>
      </w:rPr>
    </w:tblStylePr>
    <w:tblStylePr w:type="band1Vert">
      <w:tblPr/>
      <w:tcPr>
        <w:shd w:val="clear" w:color="auto" w:fill="AEAEF8" w:themeFill="text1" w:themeFillTint="33"/>
      </w:tcPr>
    </w:tblStylePr>
    <w:tblStylePr w:type="band1Horz">
      <w:tblPr/>
      <w:tcPr>
        <w:shd w:val="clear" w:color="auto" w:fill="AEAEF8" w:themeFill="text1" w:themeFillTint="33"/>
      </w:tcPr>
    </w:tblStylePr>
  </w:style>
  <w:style w:type="paragraph" w:styleId="Caption">
    <w:name w:val="caption"/>
    <w:basedOn w:val="Normal"/>
    <w:next w:val="Normal"/>
    <w:uiPriority w:val="35"/>
    <w:unhideWhenUsed/>
    <w:qFormat/>
    <w:rsid w:val="00867E27"/>
    <w:pPr>
      <w:spacing w:after="200" w:line="240" w:lineRule="auto"/>
    </w:pPr>
    <w:rPr>
      <w:i/>
      <w:iCs/>
      <w:color w:val="06064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980042">
      <w:bodyDiv w:val="1"/>
      <w:marLeft w:val="0"/>
      <w:marRight w:val="0"/>
      <w:marTop w:val="0"/>
      <w:marBottom w:val="0"/>
      <w:divBdr>
        <w:top w:val="none" w:sz="0" w:space="0" w:color="auto"/>
        <w:left w:val="none" w:sz="0" w:space="0" w:color="auto"/>
        <w:bottom w:val="none" w:sz="0" w:space="0" w:color="auto"/>
        <w:right w:val="none" w:sz="0" w:space="0" w:color="auto"/>
      </w:divBdr>
    </w:div>
    <w:div w:id="1423530722">
      <w:bodyDiv w:val="1"/>
      <w:marLeft w:val="0"/>
      <w:marRight w:val="0"/>
      <w:marTop w:val="0"/>
      <w:marBottom w:val="0"/>
      <w:divBdr>
        <w:top w:val="none" w:sz="0" w:space="0" w:color="auto"/>
        <w:left w:val="none" w:sz="0" w:space="0" w:color="auto"/>
        <w:bottom w:val="none" w:sz="0" w:space="0" w:color="auto"/>
        <w:right w:val="none" w:sz="0" w:space="0" w:color="auto"/>
      </w:divBdr>
      <w:divsChild>
        <w:div w:id="482966342">
          <w:marLeft w:val="274"/>
          <w:marRight w:val="0"/>
          <w:marTop w:val="0"/>
          <w:marBottom w:val="12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77/0149206316678451" TargetMode="External"/><Relationship Id="rId18" Type="http://schemas.openxmlformats.org/officeDocument/2006/relationships/hyperlink" Target="https://doi.org/10.1016/j.eist.2019.01.004" TargetMode="External"/><Relationship Id="rId3" Type="http://schemas.openxmlformats.org/officeDocument/2006/relationships/customXml" Target="../customXml/item3.xml"/><Relationship Id="rId21" Type="http://schemas.openxmlformats.org/officeDocument/2006/relationships/hyperlink" Target="https://doi.org/10.2307/41410412" TargetMode="External"/><Relationship Id="rId7" Type="http://schemas.openxmlformats.org/officeDocument/2006/relationships/settings" Target="settings.xml"/><Relationship Id="rId12" Type="http://schemas.openxmlformats.org/officeDocument/2006/relationships/hyperlink" Target="mailto:Graduate-School@open.ac.uk?subject=SOLILA%20studentship%20-%20Feb%202027%20cohort" TargetMode="External"/><Relationship Id="rId17" Type="http://schemas.openxmlformats.org/officeDocument/2006/relationships/hyperlink" Target="https://doi.org/10.1016/j.respol.2015.09.00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002/smj.2904" TargetMode="External"/><Relationship Id="rId20" Type="http://schemas.openxmlformats.org/officeDocument/2006/relationships/hyperlink" Target="https://doi.org/10.1007/s10842-019-00329-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acomo.Carli@open.ac.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penuniv.sharepoint.com/sites/PGRRecruitment-FBL/Shared%20Documents/Shared%20Documents/SOLILA%20-%20Feb%2027/1%20Project%20approval%20and%20advertising/896-909.%20https:/doi.org/10.1016/j.respol.2018.12.004"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oi.org/10.1093/icc/dty03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S0048-7333(02)00062-8" TargetMode="External"/><Relationship Id="rId22" Type="http://schemas.openxmlformats.org/officeDocument/2006/relationships/hyperlink" Target="https://doi.org/10.1016/j.respol.2011.10.01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s478\AppData\Roaming\Open%20University\OUClient\Stationery\OU%20WD%20Templates\Internal_OU_Design_nocover.dotx" TargetMode="External"/></Relationships>
</file>

<file path=word/theme/theme1.xml><?xml version="1.0" encoding="utf-8"?>
<a:theme xmlns:a="http://schemas.openxmlformats.org/drawingml/2006/main" name="Office Theme">
  <a:themeElements>
    <a:clrScheme name="Open University">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1C46C0"/>
      </a:hlink>
      <a:folHlink>
        <a:srgbClr val="1C46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64318c-f17c-4a8d-90f9-47c9b311201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3A0402E1B3E94F9DEDE46257CE971B" ma:contentTypeVersion="10" ma:contentTypeDescription="Create a new document." ma:contentTypeScope="" ma:versionID="94b88a991a381588e0ca3f4982c11740">
  <xsd:schema xmlns:xsd="http://www.w3.org/2001/XMLSchema" xmlns:xs="http://www.w3.org/2001/XMLSchema" xmlns:p="http://schemas.microsoft.com/office/2006/metadata/properties" xmlns:ns2="8c64318c-f17c-4a8d-90f9-47c9b311201f" targetNamespace="http://schemas.microsoft.com/office/2006/metadata/properties" ma:root="true" ma:fieldsID="e8f1ee55239ec7f1c00c3f55a3caf8bb" ns2:_="">
    <xsd:import namespace="8c64318c-f17c-4a8d-90f9-47c9b3112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4318c-f17c-4a8d-90f9-47c9b3112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8c64318c-f17c-4a8d-90f9-47c9b311201f"/>
  </ds:schemaRefs>
</ds:datastoreItem>
</file>

<file path=customXml/itemProps2.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3.xml><?xml version="1.0" encoding="utf-8"?>
<ds:datastoreItem xmlns:ds="http://schemas.openxmlformats.org/officeDocument/2006/customXml" ds:itemID="{C647FF8E-7A49-4F9E-A699-C674EA09E60B}">
  <ds:schemaRefs>
    <ds:schemaRef ds:uri="http://schemas.microsoft.com/sharepoint/v3/contenttype/forms"/>
  </ds:schemaRefs>
</ds:datastoreItem>
</file>

<file path=customXml/itemProps4.xml><?xml version="1.0" encoding="utf-8"?>
<ds:datastoreItem xmlns:ds="http://schemas.openxmlformats.org/officeDocument/2006/customXml" ds:itemID="{8B464B61-C18B-4581-A6F0-D2FF2415F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4318c-f17c-4a8d-90f9-47c9b3112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Internal_OU_Design_nocover</Template>
  <TotalTime>1</TotalTime>
  <Pages>10</Pages>
  <Words>2436</Words>
  <Characters>13887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Generic Design 1 (Plain cover)</vt:lpstr>
    </vt:vector>
  </TitlesOfParts>
  <Manager/>
  <Company>The Open University</Company>
  <LinksUpToDate>false</LinksUpToDate>
  <CharactersWithSpaces>16291</CharactersWithSpaces>
  <SharedDoc>false</SharedDoc>
  <HyperlinkBase/>
  <HLinks>
    <vt:vector size="96" baseType="variant">
      <vt:variant>
        <vt:i4>1572917</vt:i4>
      </vt:variant>
      <vt:variant>
        <vt:i4>53</vt:i4>
      </vt:variant>
      <vt:variant>
        <vt:i4>0</vt:i4>
      </vt:variant>
      <vt:variant>
        <vt:i4>5</vt:i4>
      </vt:variant>
      <vt:variant>
        <vt:lpwstr/>
      </vt:variant>
      <vt:variant>
        <vt:lpwstr>_Toc195708190</vt:lpwstr>
      </vt:variant>
      <vt:variant>
        <vt:i4>1638453</vt:i4>
      </vt:variant>
      <vt:variant>
        <vt:i4>47</vt:i4>
      </vt:variant>
      <vt:variant>
        <vt:i4>0</vt:i4>
      </vt:variant>
      <vt:variant>
        <vt:i4>5</vt:i4>
      </vt:variant>
      <vt:variant>
        <vt:lpwstr/>
      </vt:variant>
      <vt:variant>
        <vt:lpwstr>_Toc195708189</vt:lpwstr>
      </vt:variant>
      <vt:variant>
        <vt:i4>1638453</vt:i4>
      </vt:variant>
      <vt:variant>
        <vt:i4>41</vt:i4>
      </vt:variant>
      <vt:variant>
        <vt:i4>0</vt:i4>
      </vt:variant>
      <vt:variant>
        <vt:i4>5</vt:i4>
      </vt:variant>
      <vt:variant>
        <vt:lpwstr/>
      </vt:variant>
      <vt:variant>
        <vt:lpwstr>_Toc195708188</vt:lpwstr>
      </vt:variant>
      <vt:variant>
        <vt:i4>1638453</vt:i4>
      </vt:variant>
      <vt:variant>
        <vt:i4>35</vt:i4>
      </vt:variant>
      <vt:variant>
        <vt:i4>0</vt:i4>
      </vt:variant>
      <vt:variant>
        <vt:i4>5</vt:i4>
      </vt:variant>
      <vt:variant>
        <vt:lpwstr/>
      </vt:variant>
      <vt:variant>
        <vt:lpwstr>_Toc195708187</vt:lpwstr>
      </vt:variant>
      <vt:variant>
        <vt:i4>1638453</vt:i4>
      </vt:variant>
      <vt:variant>
        <vt:i4>29</vt:i4>
      </vt:variant>
      <vt:variant>
        <vt:i4>0</vt:i4>
      </vt:variant>
      <vt:variant>
        <vt:i4>5</vt:i4>
      </vt:variant>
      <vt:variant>
        <vt:lpwstr/>
      </vt:variant>
      <vt:variant>
        <vt:lpwstr>_Toc195708186</vt:lpwstr>
      </vt:variant>
      <vt:variant>
        <vt:i4>1638453</vt:i4>
      </vt:variant>
      <vt:variant>
        <vt:i4>23</vt:i4>
      </vt:variant>
      <vt:variant>
        <vt:i4>0</vt:i4>
      </vt:variant>
      <vt:variant>
        <vt:i4>5</vt:i4>
      </vt:variant>
      <vt:variant>
        <vt:lpwstr/>
      </vt:variant>
      <vt:variant>
        <vt:lpwstr>_Toc195708185</vt:lpwstr>
      </vt:variant>
      <vt:variant>
        <vt:i4>1638453</vt:i4>
      </vt:variant>
      <vt:variant>
        <vt:i4>17</vt:i4>
      </vt:variant>
      <vt:variant>
        <vt:i4>0</vt:i4>
      </vt:variant>
      <vt:variant>
        <vt:i4>5</vt:i4>
      </vt:variant>
      <vt:variant>
        <vt:lpwstr/>
      </vt:variant>
      <vt:variant>
        <vt:lpwstr>_Toc195708184</vt:lpwstr>
      </vt:variant>
      <vt:variant>
        <vt:i4>1638453</vt:i4>
      </vt:variant>
      <vt:variant>
        <vt:i4>11</vt:i4>
      </vt:variant>
      <vt:variant>
        <vt:i4>0</vt:i4>
      </vt:variant>
      <vt:variant>
        <vt:i4>5</vt:i4>
      </vt:variant>
      <vt:variant>
        <vt:lpwstr/>
      </vt:variant>
      <vt:variant>
        <vt:lpwstr>_Toc195708183</vt:lpwstr>
      </vt:variant>
      <vt:variant>
        <vt:i4>1966144</vt:i4>
      </vt:variant>
      <vt:variant>
        <vt:i4>6</vt:i4>
      </vt:variant>
      <vt:variant>
        <vt:i4>0</vt:i4>
      </vt:variant>
      <vt:variant>
        <vt:i4>5</vt:i4>
      </vt:variant>
      <vt:variant>
        <vt:lpwstr>https://openuniv.sharepoint.com/sites/access/accessibility-usability-evaluation/SitePages/Word-Document-Guidance.aspx</vt:lpwstr>
      </vt:variant>
      <vt:variant>
        <vt:lpwstr/>
      </vt:variant>
      <vt:variant>
        <vt:i4>7143551</vt:i4>
      </vt:variant>
      <vt:variant>
        <vt:i4>3</vt:i4>
      </vt:variant>
      <vt:variant>
        <vt:i4>0</vt:i4>
      </vt:variant>
      <vt:variant>
        <vt:i4>5</vt:i4>
      </vt:variant>
      <vt:variant>
        <vt:lpwstr>https://openuniv.sharepoint.com/:u:/r/sites/access/accessibility-usability-evaluation/SitePages/Microsoft-Word-Documents--Tables.aspx?csf=1&amp;web=1&amp;share=Eeps-bW3Hc5KnmWtwew55CIBp3bWbpWFlajKjg3eRoISWg&amp;e=MHeJwg</vt:lpwstr>
      </vt:variant>
      <vt:variant>
        <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ariant>
        <vt:i4>131126</vt:i4>
      </vt:variant>
      <vt:variant>
        <vt:i4>12</vt:i4>
      </vt:variant>
      <vt:variant>
        <vt:i4>0</vt:i4>
      </vt:variant>
      <vt:variant>
        <vt:i4>5</vt:i4>
      </vt:variant>
      <vt:variant>
        <vt:lpwstr>mailto:ah27627@open.ac.uk</vt:lpwstr>
      </vt:variant>
      <vt:variant>
        <vt:lpwstr/>
      </vt:variant>
      <vt:variant>
        <vt:i4>131126</vt:i4>
      </vt:variant>
      <vt:variant>
        <vt:i4>9</vt:i4>
      </vt:variant>
      <vt:variant>
        <vt:i4>0</vt:i4>
      </vt:variant>
      <vt:variant>
        <vt:i4>5</vt:i4>
      </vt:variant>
      <vt:variant>
        <vt:lpwstr>mailto:ah27627@open.ac.uk</vt:lpwstr>
      </vt:variant>
      <vt:variant>
        <vt:lpwstr/>
      </vt:variant>
      <vt:variant>
        <vt:i4>6684729</vt:i4>
      </vt:variant>
      <vt:variant>
        <vt:i4>6</vt:i4>
      </vt:variant>
      <vt:variant>
        <vt:i4>0</vt:i4>
      </vt:variant>
      <vt:variant>
        <vt:i4>5</vt:i4>
      </vt:variant>
      <vt:variant>
        <vt:lpwstr>https://www.clickmatix.com.au/hyphens-vs-underscores-url-seo-best-practices/</vt:lpwstr>
      </vt:variant>
      <vt:variant>
        <vt:lpwstr>:~:text=Underscores%20can%20confuse%20search%20engines,what%20your%20webpage%20is%20about.</vt:lpwstr>
      </vt:variant>
      <vt:variant>
        <vt:i4>131126</vt:i4>
      </vt:variant>
      <vt:variant>
        <vt:i4>3</vt:i4>
      </vt:variant>
      <vt:variant>
        <vt:i4>0</vt:i4>
      </vt:variant>
      <vt:variant>
        <vt:i4>5</vt:i4>
      </vt:variant>
      <vt:variant>
        <vt:lpwstr>mailto:ah27627@open.ac.uk</vt:lpwstr>
      </vt:variant>
      <vt:variant>
        <vt:lpwstr/>
      </vt:variant>
      <vt:variant>
        <vt:i4>131126</vt:i4>
      </vt:variant>
      <vt:variant>
        <vt:i4>0</vt:i4>
      </vt:variant>
      <vt:variant>
        <vt:i4>0</vt:i4>
      </vt:variant>
      <vt:variant>
        <vt:i4>5</vt:i4>
      </vt:variant>
      <vt:variant>
        <vt:lpwstr>mailto:ah27627@open.ac.uk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Design 1 (No cover)</dc:title>
  <dc:subject>OU Microsoft Word Report Template with accessibility guidance and best practice tips. This version of the report displays the front cover icon.</dc:subject>
  <dc:creator>Ellie.Milnes-Smith [She/Her]</dc:creator>
  <cp:keywords>OU Microsoft Word Report Template, OU Brand Word Template, Word Template with Front Cover Icon</cp:keywords>
  <dc:description>Final Version</dc:description>
  <cp:lastModifiedBy>Ellie.Milnes-Smith [She/Her]</cp:lastModifiedBy>
  <cp:revision>2</cp:revision>
  <dcterms:created xsi:type="dcterms:W3CDTF">2026-10-20T15:25:00Z</dcterms:created>
  <dcterms:modified xsi:type="dcterms:W3CDTF">2026-10-20T15:25:00Z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0x010100F23A0402E1B3E94F9DEDE46257CE971B</vt:lpwstr>
  </property>
  <property fmtid="{D5CDD505-2E9C-101B-9397-08002B2CF9AE}" pid="3" name="MediaServiceImageTags">
    <vt:lpwstr/>
  </property>
</Properties>
</file>