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EF6E" w14:textId="77777777" w:rsidR="002B4F65" w:rsidRPr="00753087" w:rsidRDefault="00CB3C1F">
      <w:pPr>
        <w:spacing w:after="206" w:line="447" w:lineRule="auto"/>
        <w:ind w:left="2612" w:right="6350" w:firstLine="0"/>
        <w:rPr>
          <w:rFonts w:ascii="Arial" w:hAnsi="Arial" w:cs="Arial"/>
        </w:rPr>
      </w:pPr>
      <w:r w:rsidRPr="00753087">
        <w:rPr>
          <w:rFonts w:ascii="Arial" w:hAnsi="Arial" w:cs="Arial"/>
          <w:noProof/>
        </w:rPr>
        <w:drawing>
          <wp:anchor distT="0" distB="0" distL="114300" distR="114300" simplePos="0" relativeHeight="251658240" behindDoc="0" locked="0" layoutInCell="1" allowOverlap="0" wp14:anchorId="5F9AE586" wp14:editId="5A6015A2">
            <wp:simplePos x="0" y="0"/>
            <wp:positionH relativeFrom="column">
              <wp:posOffset>-247650</wp:posOffset>
            </wp:positionH>
            <wp:positionV relativeFrom="paragraph">
              <wp:posOffset>-302895</wp:posOffset>
            </wp:positionV>
            <wp:extent cx="1539240" cy="1047750"/>
            <wp:effectExtent l="0" t="0" r="3810" b="0"/>
            <wp:wrapNone/>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0"/>
                    <a:stretch>
                      <a:fillRect/>
                    </a:stretch>
                  </pic:blipFill>
                  <pic:spPr>
                    <a:xfrm>
                      <a:off x="0" y="0"/>
                      <a:ext cx="1539240" cy="1047750"/>
                    </a:xfrm>
                    <a:prstGeom prst="rect">
                      <a:avLst/>
                    </a:prstGeom>
                  </pic:spPr>
                </pic:pic>
              </a:graphicData>
            </a:graphic>
          </wp:anchor>
        </w:drawing>
      </w:r>
      <w:r w:rsidRPr="00753087">
        <w:rPr>
          <w:rFonts w:ascii="Arial" w:eastAsia="Arial" w:hAnsi="Arial" w:cs="Arial"/>
        </w:rPr>
        <w:t xml:space="preserve">  </w:t>
      </w:r>
    </w:p>
    <w:p w14:paraId="0CAE3918" w14:textId="77777777" w:rsidR="00753087" w:rsidRPr="00753087" w:rsidRDefault="00CB3C1F" w:rsidP="00753087">
      <w:pPr>
        <w:pStyle w:val="Heading1"/>
        <w:spacing w:line="240" w:lineRule="auto"/>
        <w:ind w:left="11" w:right="-17" w:hanging="11"/>
        <w:rPr>
          <w:b/>
          <w:bCs/>
          <w:sz w:val="40"/>
          <w:szCs w:val="20"/>
        </w:rPr>
      </w:pPr>
      <w:r w:rsidRPr="00753087">
        <w:rPr>
          <w:b/>
          <w:bCs/>
          <w:sz w:val="40"/>
          <w:szCs w:val="20"/>
        </w:rPr>
        <w:t xml:space="preserve">Research Degrees </w:t>
      </w:r>
    </w:p>
    <w:p w14:paraId="4586CE37" w14:textId="77777777" w:rsidR="00753087" w:rsidRPr="00753087" w:rsidRDefault="00CB3C1F" w:rsidP="00753087">
      <w:pPr>
        <w:pStyle w:val="Heading1"/>
        <w:spacing w:line="240" w:lineRule="auto"/>
        <w:ind w:left="11" w:right="-17" w:hanging="11"/>
        <w:rPr>
          <w:b/>
          <w:bCs/>
          <w:sz w:val="40"/>
          <w:szCs w:val="20"/>
        </w:rPr>
      </w:pPr>
      <w:r w:rsidRPr="00753087">
        <w:rPr>
          <w:b/>
          <w:bCs/>
          <w:sz w:val="40"/>
          <w:szCs w:val="20"/>
        </w:rPr>
        <w:t>P</w:t>
      </w:r>
      <w:r w:rsidR="00753087" w:rsidRPr="00753087">
        <w:rPr>
          <w:b/>
          <w:bCs/>
          <w:sz w:val="40"/>
          <w:szCs w:val="20"/>
        </w:rPr>
        <w:t xml:space="preserve">rofessional </w:t>
      </w:r>
      <w:r w:rsidRPr="00753087">
        <w:rPr>
          <w:b/>
          <w:bCs/>
          <w:sz w:val="40"/>
          <w:szCs w:val="20"/>
        </w:rPr>
        <w:t>D</w:t>
      </w:r>
      <w:r w:rsidR="00753087" w:rsidRPr="00753087">
        <w:rPr>
          <w:b/>
          <w:bCs/>
          <w:sz w:val="40"/>
          <w:szCs w:val="20"/>
        </w:rPr>
        <w:t>octorate</w:t>
      </w:r>
      <w:r w:rsidRPr="00753087">
        <w:rPr>
          <w:b/>
          <w:bCs/>
          <w:sz w:val="40"/>
          <w:szCs w:val="20"/>
        </w:rPr>
        <w:t xml:space="preserve"> </w:t>
      </w:r>
    </w:p>
    <w:p w14:paraId="77DA0FFF" w14:textId="190A91C4" w:rsidR="002B4F65" w:rsidRPr="00753087" w:rsidRDefault="00CB3C1F" w:rsidP="00753087">
      <w:pPr>
        <w:pStyle w:val="Heading1"/>
        <w:spacing w:line="240" w:lineRule="auto"/>
        <w:ind w:left="11" w:right="-17" w:hanging="11"/>
        <w:rPr>
          <w:b/>
          <w:bCs/>
          <w:sz w:val="40"/>
          <w:szCs w:val="20"/>
        </w:rPr>
      </w:pPr>
      <w:r w:rsidRPr="00753087">
        <w:rPr>
          <w:b/>
          <w:bCs/>
          <w:sz w:val="40"/>
          <w:szCs w:val="20"/>
        </w:rPr>
        <w:t xml:space="preserve">Supervisors Guidelines </w:t>
      </w:r>
    </w:p>
    <w:p w14:paraId="03A49CF5" w14:textId="77777777" w:rsidR="002B4F65" w:rsidRPr="00753087" w:rsidRDefault="00CB3C1F">
      <w:pPr>
        <w:spacing w:after="537" w:line="259" w:lineRule="auto"/>
        <w:ind w:left="0" w:firstLine="0"/>
        <w:rPr>
          <w:rFonts w:ascii="Arial" w:hAnsi="Arial" w:cs="Arial"/>
        </w:rPr>
      </w:pPr>
      <w:r w:rsidRPr="00753087">
        <w:rPr>
          <w:rFonts w:ascii="Arial" w:eastAsia="Arial" w:hAnsi="Arial" w:cs="Arial"/>
          <w:sz w:val="24"/>
        </w:rPr>
        <w:t xml:space="preserve"> </w:t>
      </w:r>
    </w:p>
    <w:p w14:paraId="5D260518" w14:textId="5F6AA42E" w:rsidR="002B4F65" w:rsidRPr="00753087" w:rsidRDefault="00CB3C1F" w:rsidP="00753087">
      <w:pPr>
        <w:pStyle w:val="Heading2"/>
        <w:numPr>
          <w:ilvl w:val="0"/>
          <w:numId w:val="7"/>
        </w:numPr>
        <w:rPr>
          <w:rFonts w:ascii="Arial" w:hAnsi="Arial" w:cs="Arial"/>
          <w:b/>
          <w:bCs/>
          <w:color w:val="auto"/>
          <w:sz w:val="24"/>
          <w:szCs w:val="18"/>
        </w:rPr>
      </w:pPr>
      <w:r w:rsidRPr="00753087">
        <w:rPr>
          <w:rFonts w:ascii="Arial" w:hAnsi="Arial" w:cs="Arial"/>
          <w:b/>
          <w:bCs/>
          <w:color w:val="auto"/>
          <w:sz w:val="24"/>
          <w:szCs w:val="18"/>
        </w:rPr>
        <w:t xml:space="preserve">Introduction </w:t>
      </w:r>
    </w:p>
    <w:p w14:paraId="0431B892" w14:textId="77777777" w:rsidR="00753087" w:rsidRPr="00753087" w:rsidRDefault="00753087" w:rsidP="00753087">
      <w:pPr>
        <w:rPr>
          <w:rFonts w:ascii="Arial" w:hAnsi="Arial" w:cs="Arial"/>
        </w:rPr>
      </w:pPr>
    </w:p>
    <w:p w14:paraId="169E5C5D" w14:textId="18FE4D1A" w:rsidR="002B4F65" w:rsidRPr="00753087" w:rsidRDefault="00CB3C1F">
      <w:pPr>
        <w:spacing w:after="166"/>
        <w:rPr>
          <w:rFonts w:ascii="Arial" w:hAnsi="Arial" w:cs="Arial"/>
        </w:rPr>
      </w:pPr>
      <w:r w:rsidRPr="00753087">
        <w:rPr>
          <w:rFonts w:ascii="Arial" w:hAnsi="Arial" w:cs="Arial"/>
        </w:rPr>
        <w:t xml:space="preserve">This document provides information about the role and responsibilities of supervisors for students registered for a Professional Doctorate in Education/Health and Social Care. It should be read in conjunction with the </w:t>
      </w:r>
      <w:hyperlink r:id="rId11">
        <w:r w:rsidRPr="00753087">
          <w:rPr>
            <w:rFonts w:ascii="Arial" w:hAnsi="Arial" w:cs="Arial"/>
            <w:color w:val="0563C1"/>
            <w:u w:val="single" w:color="0563C1"/>
          </w:rPr>
          <w:t>Research Degree Regulations</w:t>
        </w:r>
      </w:hyperlink>
      <w:hyperlink r:id="rId12"/>
      <w:r w:rsidR="004519B1">
        <w:rPr>
          <w:rFonts w:ascii="Arial" w:hAnsi="Arial" w:cs="Arial"/>
        </w:rPr>
        <w:t xml:space="preserve"> (</w:t>
      </w:r>
      <w:r w:rsidR="004519B1" w:rsidRPr="004519B1">
        <w:rPr>
          <w:rFonts w:ascii="Arial" w:hAnsi="Arial" w:cs="Arial"/>
        </w:rPr>
        <w:t>including appendix 2: Code of practice for supervisors</w:t>
      </w:r>
      <w:r w:rsidR="004519B1">
        <w:rPr>
          <w:rFonts w:ascii="Arial" w:hAnsi="Arial" w:cs="Arial"/>
        </w:rPr>
        <w:t>),</w:t>
      </w:r>
      <w:r w:rsidRPr="00753087">
        <w:rPr>
          <w:rFonts w:ascii="Arial" w:hAnsi="Arial" w:cs="Arial"/>
        </w:rPr>
        <w:t xml:space="preserve"> the principle means through which The Open University ensures consistency in academic standards across the research degree programmes it offers and also the </w:t>
      </w:r>
      <w:r w:rsidRPr="00753087">
        <w:rPr>
          <w:rFonts w:ascii="Arial" w:hAnsi="Arial" w:cs="Arial"/>
          <w:b/>
          <w:i/>
        </w:rPr>
        <w:t xml:space="preserve">Professional Doctorate Programme Guide. </w:t>
      </w:r>
    </w:p>
    <w:p w14:paraId="544A0BD0" w14:textId="77777777" w:rsidR="002B4F65" w:rsidRPr="00753087" w:rsidRDefault="00CB3C1F" w:rsidP="00112D1A">
      <w:pPr>
        <w:spacing w:after="240" w:line="269" w:lineRule="auto"/>
        <w:ind w:left="11" w:hanging="11"/>
        <w:rPr>
          <w:rFonts w:ascii="Arial" w:hAnsi="Arial" w:cs="Arial"/>
        </w:rPr>
      </w:pPr>
      <w:r w:rsidRPr="00753087">
        <w:rPr>
          <w:rFonts w:ascii="Arial" w:hAnsi="Arial" w:cs="Arial"/>
        </w:rPr>
        <w:t xml:space="preserve">Please note that although every effort is made to avoid discrepancies in the information provided, should there be an inconsistency, it is the Research Degree Regulations that will take precedence.  </w:t>
      </w:r>
    </w:p>
    <w:p w14:paraId="37B414F6" w14:textId="1614507A" w:rsidR="002B4F65" w:rsidRDefault="00CB3C1F" w:rsidP="00753087">
      <w:pPr>
        <w:pStyle w:val="Heading2"/>
        <w:numPr>
          <w:ilvl w:val="0"/>
          <w:numId w:val="7"/>
        </w:numPr>
        <w:rPr>
          <w:rFonts w:ascii="Arial" w:hAnsi="Arial" w:cs="Arial"/>
          <w:b/>
          <w:bCs/>
          <w:color w:val="auto"/>
          <w:sz w:val="24"/>
          <w:szCs w:val="18"/>
        </w:rPr>
      </w:pPr>
      <w:r w:rsidRPr="00753087">
        <w:rPr>
          <w:rFonts w:ascii="Arial" w:hAnsi="Arial" w:cs="Arial"/>
          <w:b/>
          <w:bCs/>
          <w:color w:val="auto"/>
          <w:sz w:val="24"/>
          <w:szCs w:val="18"/>
        </w:rPr>
        <w:t xml:space="preserve">Supervision arrangements </w:t>
      </w:r>
    </w:p>
    <w:p w14:paraId="21B5DE54" w14:textId="77777777" w:rsidR="00753087" w:rsidRPr="00112D1A" w:rsidRDefault="00753087" w:rsidP="00753087">
      <w:pPr>
        <w:rPr>
          <w:sz w:val="10"/>
          <w:szCs w:val="10"/>
        </w:rPr>
      </w:pPr>
    </w:p>
    <w:p w14:paraId="1294F883" w14:textId="77777777" w:rsidR="002B4F65" w:rsidRPr="00753087" w:rsidRDefault="00CB3C1F">
      <w:pPr>
        <w:spacing w:after="166"/>
        <w:rPr>
          <w:rFonts w:ascii="Arial" w:hAnsi="Arial" w:cs="Arial"/>
        </w:rPr>
      </w:pPr>
      <w:r w:rsidRPr="00753087">
        <w:rPr>
          <w:rFonts w:ascii="Arial" w:hAnsi="Arial" w:cs="Arial"/>
        </w:rPr>
        <w:t xml:space="preserve">In Year 1, students will only be allocated one supervisor (the main supervisor). Co-supervisors will join the supervisory team in Year 2. Main supervisors who have not supervised to completion will be mentored by an experienced internal or external colleague. Main supervisors and co-supervisors between them must have at least one UK PhD/PD completion.  </w:t>
      </w:r>
    </w:p>
    <w:p w14:paraId="780E7694" w14:textId="34D5AD85" w:rsidR="002B4F65" w:rsidRPr="00753087" w:rsidRDefault="00CB3C1F" w:rsidP="00112D1A">
      <w:pPr>
        <w:spacing w:after="240" w:line="269" w:lineRule="auto"/>
        <w:ind w:left="11" w:hanging="11"/>
        <w:rPr>
          <w:rFonts w:ascii="Arial" w:hAnsi="Arial" w:cs="Arial"/>
        </w:rPr>
      </w:pPr>
      <w:r w:rsidRPr="00753087">
        <w:rPr>
          <w:rFonts w:ascii="Arial" w:hAnsi="Arial" w:cs="Arial"/>
        </w:rPr>
        <w:t xml:space="preserve">Area Leads and the EdD/DHSC Programme Leader are responsible, in consultation with their colleagues, for recommending the appointment of PD supervisors to the Research Degrees Committee. All appointments require </w:t>
      </w:r>
      <w:r w:rsidR="000B3846">
        <w:rPr>
          <w:rFonts w:ascii="Arial" w:hAnsi="Arial" w:cs="Arial"/>
        </w:rPr>
        <w:t>Progress Board</w:t>
      </w:r>
      <w:r w:rsidRPr="00753087">
        <w:rPr>
          <w:rFonts w:ascii="Arial" w:hAnsi="Arial" w:cs="Arial"/>
        </w:rPr>
        <w:t xml:space="preserve"> approval.  </w:t>
      </w:r>
    </w:p>
    <w:p w14:paraId="5DE8066C" w14:textId="6F9744D4" w:rsidR="002B4F65" w:rsidRDefault="00CB3C1F" w:rsidP="00753087">
      <w:pPr>
        <w:pStyle w:val="Heading2"/>
        <w:numPr>
          <w:ilvl w:val="0"/>
          <w:numId w:val="7"/>
        </w:numPr>
        <w:rPr>
          <w:rFonts w:ascii="Arial" w:hAnsi="Arial" w:cs="Arial"/>
          <w:b/>
          <w:bCs/>
          <w:color w:val="auto"/>
          <w:sz w:val="24"/>
          <w:szCs w:val="18"/>
        </w:rPr>
      </w:pPr>
      <w:r w:rsidRPr="00753087">
        <w:rPr>
          <w:rFonts w:ascii="Arial" w:hAnsi="Arial" w:cs="Arial"/>
          <w:b/>
          <w:bCs/>
          <w:color w:val="auto"/>
          <w:sz w:val="24"/>
          <w:szCs w:val="18"/>
        </w:rPr>
        <w:t xml:space="preserve">Duties of supervisors and mentors </w:t>
      </w:r>
    </w:p>
    <w:p w14:paraId="19385AA6" w14:textId="77777777" w:rsidR="00753087" w:rsidRPr="00112D1A" w:rsidRDefault="00753087" w:rsidP="00753087">
      <w:pPr>
        <w:rPr>
          <w:sz w:val="10"/>
          <w:szCs w:val="10"/>
        </w:rPr>
      </w:pPr>
    </w:p>
    <w:p w14:paraId="294B446A" w14:textId="6C4F767F" w:rsidR="002B4F65" w:rsidRPr="00753087" w:rsidRDefault="00CB3C1F">
      <w:pPr>
        <w:spacing w:after="246"/>
        <w:rPr>
          <w:rFonts w:ascii="Arial" w:hAnsi="Arial" w:cs="Arial"/>
        </w:rPr>
      </w:pPr>
      <w:r w:rsidRPr="00753087">
        <w:rPr>
          <w:rFonts w:ascii="Arial" w:hAnsi="Arial" w:cs="Arial"/>
        </w:rPr>
        <w:t>Good supervision is an important contributing factor to a student’s successful and timely completion of their research degree. Supervisors are responsible for academic progress and pastoral or personal support of their students, and for dealing with administrative matters. They should provide the guidance and support necessary for the successful completion of the research project. Supervisors must undertake supervisory training</w:t>
      </w:r>
      <w:r w:rsidR="001E1A57">
        <w:rPr>
          <w:rFonts w:ascii="Arial" w:hAnsi="Arial" w:cs="Arial"/>
        </w:rPr>
        <w:t xml:space="preserve"> within 12 months of beginning the role and then renew this training every four </w:t>
      </w:r>
      <w:proofErr w:type="gramStart"/>
      <w:r w:rsidR="001E1A57">
        <w:rPr>
          <w:rFonts w:ascii="Arial" w:hAnsi="Arial" w:cs="Arial"/>
        </w:rPr>
        <w:t>years,</w:t>
      </w:r>
      <w:r w:rsidRPr="00753087">
        <w:rPr>
          <w:rFonts w:ascii="Arial" w:hAnsi="Arial" w:cs="Arial"/>
        </w:rPr>
        <w:t xml:space="preserve"> and</w:t>
      </w:r>
      <w:proofErr w:type="gramEnd"/>
      <w:r w:rsidRPr="00753087">
        <w:rPr>
          <w:rFonts w:ascii="Arial" w:hAnsi="Arial" w:cs="Arial"/>
        </w:rPr>
        <w:t xml:space="preserve"> be committed to on-going development of supervision skills in accordance with the Research Degree Regulations (PD 4.11 and Appendix 2).  </w:t>
      </w:r>
    </w:p>
    <w:p w14:paraId="637E4F7A" w14:textId="77777777" w:rsidR="002E537D" w:rsidRPr="002E537D" w:rsidRDefault="00CB3C1F" w:rsidP="002E537D">
      <w:pPr>
        <w:pStyle w:val="Heading2"/>
        <w:numPr>
          <w:ilvl w:val="1"/>
          <w:numId w:val="7"/>
        </w:numPr>
        <w:rPr>
          <w:rFonts w:ascii="Arial" w:hAnsi="Arial" w:cs="Arial"/>
          <w:b/>
          <w:bCs/>
          <w:color w:val="auto"/>
          <w:sz w:val="24"/>
          <w:szCs w:val="18"/>
        </w:rPr>
      </w:pPr>
      <w:r w:rsidRPr="002E537D">
        <w:rPr>
          <w:rFonts w:ascii="Arial" w:hAnsi="Arial" w:cs="Arial"/>
          <w:b/>
          <w:bCs/>
          <w:color w:val="auto"/>
          <w:sz w:val="24"/>
          <w:szCs w:val="18"/>
        </w:rPr>
        <w:t>Main supervisor</w:t>
      </w:r>
    </w:p>
    <w:p w14:paraId="478C4E8E" w14:textId="35359412" w:rsidR="002B4F65" w:rsidRPr="00753087" w:rsidRDefault="00CB3C1F" w:rsidP="002E537D">
      <w:pPr>
        <w:pStyle w:val="Heading2"/>
        <w:ind w:left="371" w:firstLine="0"/>
        <w:rPr>
          <w:rFonts w:ascii="Arial" w:hAnsi="Arial" w:cs="Arial"/>
          <w:b/>
          <w:bCs/>
          <w:color w:val="auto"/>
          <w:sz w:val="24"/>
          <w:szCs w:val="18"/>
        </w:rPr>
      </w:pPr>
      <w:r w:rsidRPr="00753087">
        <w:rPr>
          <w:rFonts w:ascii="Arial" w:hAnsi="Arial" w:cs="Arial"/>
          <w:b/>
          <w:bCs/>
          <w:color w:val="auto"/>
          <w:sz w:val="24"/>
          <w:szCs w:val="18"/>
        </w:rPr>
        <w:t xml:space="preserve"> </w:t>
      </w:r>
    </w:p>
    <w:p w14:paraId="6CAE7254" w14:textId="60E10F42" w:rsidR="002B4F65" w:rsidRDefault="00CB3C1F">
      <w:pPr>
        <w:rPr>
          <w:rFonts w:ascii="Arial" w:hAnsi="Arial" w:cs="Arial"/>
        </w:rPr>
      </w:pPr>
      <w:r w:rsidRPr="00753087">
        <w:rPr>
          <w:rFonts w:ascii="Arial" w:hAnsi="Arial" w:cs="Arial"/>
        </w:rPr>
        <w:t xml:space="preserve">The PD Main Supervisor will be the first point of contact for the student and will supervise and provide academic and pastoral support throughout the period of study using computer </w:t>
      </w:r>
      <w:r w:rsidRPr="00753087">
        <w:rPr>
          <w:rFonts w:ascii="Arial" w:hAnsi="Arial" w:cs="Arial"/>
        </w:rPr>
        <w:lastRenderedPageBreak/>
        <w:t xml:space="preserve">mediated communication, telephone and face-to-face (at residential events) as required. For each student supervised this involves: </w:t>
      </w:r>
    </w:p>
    <w:p w14:paraId="35134100" w14:textId="77777777" w:rsidR="00112D1A" w:rsidRPr="00753087" w:rsidRDefault="00112D1A">
      <w:pPr>
        <w:rPr>
          <w:rFonts w:ascii="Arial" w:hAnsi="Arial" w:cs="Arial"/>
        </w:rPr>
      </w:pPr>
    </w:p>
    <w:p w14:paraId="7B64EB0F" w14:textId="77777777" w:rsidR="002B4F65" w:rsidRPr="00753087" w:rsidRDefault="00CB3C1F">
      <w:pPr>
        <w:numPr>
          <w:ilvl w:val="0"/>
          <w:numId w:val="1"/>
        </w:numPr>
        <w:spacing w:after="51"/>
        <w:ind w:hanging="360"/>
        <w:rPr>
          <w:rFonts w:ascii="Arial" w:hAnsi="Arial" w:cs="Arial"/>
        </w:rPr>
      </w:pPr>
      <w:r w:rsidRPr="00753087">
        <w:rPr>
          <w:rFonts w:ascii="Arial" w:hAnsi="Arial" w:cs="Arial"/>
        </w:rPr>
        <w:t xml:space="preserve">supporting the selection process. Potential supervisors will be invited to contribute to the initial vetting of PD proposals by: </w:t>
      </w:r>
    </w:p>
    <w:p w14:paraId="699AAA0A" w14:textId="77777777" w:rsidR="002B4F65" w:rsidRPr="00753087" w:rsidRDefault="00CB3C1F">
      <w:pPr>
        <w:numPr>
          <w:ilvl w:val="1"/>
          <w:numId w:val="1"/>
        </w:numPr>
        <w:ind w:hanging="360"/>
        <w:rPr>
          <w:rFonts w:ascii="Arial" w:hAnsi="Arial" w:cs="Arial"/>
        </w:rPr>
      </w:pPr>
      <w:r w:rsidRPr="00753087">
        <w:rPr>
          <w:rFonts w:ascii="Arial" w:hAnsi="Arial" w:cs="Arial"/>
        </w:rPr>
        <w:t xml:space="preserve">recommending acceptance or rejection </w:t>
      </w:r>
    </w:p>
    <w:p w14:paraId="6D7A2AC1" w14:textId="77777777" w:rsidR="002B4F65" w:rsidRPr="00753087" w:rsidRDefault="00CB3C1F">
      <w:pPr>
        <w:numPr>
          <w:ilvl w:val="1"/>
          <w:numId w:val="1"/>
        </w:numPr>
        <w:ind w:hanging="360"/>
        <w:rPr>
          <w:rFonts w:ascii="Arial" w:hAnsi="Arial" w:cs="Arial"/>
        </w:rPr>
      </w:pPr>
      <w:r w:rsidRPr="00753087">
        <w:rPr>
          <w:rFonts w:ascii="Arial" w:hAnsi="Arial" w:cs="Arial"/>
        </w:rPr>
        <w:t xml:space="preserve">writing detailed feedback on proposals </w:t>
      </w:r>
    </w:p>
    <w:p w14:paraId="02C72840" w14:textId="77777777" w:rsidR="002B4F65" w:rsidRPr="00753087" w:rsidRDefault="00CB3C1F">
      <w:pPr>
        <w:numPr>
          <w:ilvl w:val="1"/>
          <w:numId w:val="1"/>
        </w:numPr>
        <w:spacing w:after="0"/>
        <w:ind w:hanging="360"/>
        <w:rPr>
          <w:rFonts w:ascii="Arial" w:hAnsi="Arial" w:cs="Arial"/>
        </w:rPr>
      </w:pPr>
      <w:r w:rsidRPr="00753087">
        <w:rPr>
          <w:rFonts w:ascii="Arial" w:hAnsi="Arial" w:cs="Arial"/>
        </w:rPr>
        <w:t xml:space="preserve">contributing to the selection interview for candidates. </w:t>
      </w:r>
    </w:p>
    <w:p w14:paraId="2D5FD5B9"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advising the student on locating, interpreting and critically reviewing published material relevant to their thesis topic </w:t>
      </w:r>
    </w:p>
    <w:p w14:paraId="5096F612"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advising on the selection and practical use of research methodologies and techniques </w:t>
      </w:r>
    </w:p>
    <w:p w14:paraId="4A6AF58B"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facilitating ways for the student to work effectively with other students on topics of common interest </w:t>
      </w:r>
    </w:p>
    <w:p w14:paraId="045AA9A5" w14:textId="77777777" w:rsidR="002B4F65" w:rsidRDefault="00CB3C1F">
      <w:pPr>
        <w:numPr>
          <w:ilvl w:val="0"/>
          <w:numId w:val="1"/>
        </w:numPr>
        <w:ind w:hanging="360"/>
        <w:rPr>
          <w:rFonts w:ascii="Arial" w:hAnsi="Arial" w:cs="Arial"/>
        </w:rPr>
      </w:pPr>
      <w:r w:rsidRPr="00753087">
        <w:rPr>
          <w:rFonts w:ascii="Arial" w:hAnsi="Arial" w:cs="Arial"/>
        </w:rPr>
        <w:t xml:space="preserve">providing study support for the student as required </w:t>
      </w:r>
    </w:p>
    <w:p w14:paraId="745D27B4" w14:textId="75CBA3A9" w:rsidR="001E1A57" w:rsidRPr="00753087" w:rsidRDefault="001E1A57">
      <w:pPr>
        <w:numPr>
          <w:ilvl w:val="0"/>
          <w:numId w:val="1"/>
        </w:numPr>
        <w:ind w:hanging="360"/>
        <w:rPr>
          <w:rFonts w:ascii="Arial" w:hAnsi="Arial" w:cs="Arial"/>
        </w:rPr>
      </w:pPr>
      <w:r>
        <w:rPr>
          <w:rFonts w:ascii="Arial" w:hAnsi="Arial" w:cs="Arial"/>
        </w:rPr>
        <w:t xml:space="preserve">Using </w:t>
      </w:r>
      <w:hyperlink r:id="rId13" w:history="1">
        <w:r w:rsidRPr="00CD6571">
          <w:rPr>
            <w:rStyle w:val="Hyperlink"/>
            <w:rFonts w:ascii="Arial" w:hAnsi="Arial" w:cs="Arial"/>
          </w:rPr>
          <w:t>PGR Manager</w:t>
        </w:r>
      </w:hyperlink>
      <w:r>
        <w:rPr>
          <w:rFonts w:ascii="Arial" w:hAnsi="Arial" w:cs="Arial"/>
        </w:rPr>
        <w:t xml:space="preserve"> to support the student with administrative needs and </w:t>
      </w:r>
      <w:proofErr w:type="gramStart"/>
      <w:r>
        <w:rPr>
          <w:rFonts w:ascii="Arial" w:hAnsi="Arial" w:cs="Arial"/>
        </w:rPr>
        <w:t>requirements</w:t>
      </w:r>
      <w:proofErr w:type="gramEnd"/>
    </w:p>
    <w:p w14:paraId="252AD1BF" w14:textId="77777777" w:rsidR="002B4F65" w:rsidRPr="00753087" w:rsidRDefault="00CB3C1F">
      <w:pPr>
        <w:numPr>
          <w:ilvl w:val="0"/>
          <w:numId w:val="1"/>
        </w:numPr>
        <w:spacing w:after="16" w:line="275" w:lineRule="auto"/>
        <w:ind w:hanging="360"/>
        <w:rPr>
          <w:rFonts w:ascii="Arial" w:hAnsi="Arial" w:cs="Arial"/>
        </w:rPr>
      </w:pPr>
      <w:r w:rsidRPr="00753087">
        <w:rPr>
          <w:rFonts w:ascii="Arial" w:hAnsi="Arial" w:cs="Arial"/>
        </w:rPr>
        <w:t xml:space="preserve">reporting, as required, upon work done and the student’s progress, through providing feedback on all assignments and progress </w:t>
      </w:r>
      <w:proofErr w:type="gramStart"/>
      <w:r w:rsidRPr="00753087">
        <w:rPr>
          <w:rFonts w:ascii="Arial" w:hAnsi="Arial" w:cs="Arial"/>
        </w:rPr>
        <w:t>reports</w:t>
      </w:r>
      <w:proofErr w:type="gramEnd"/>
      <w:r w:rsidRPr="00753087">
        <w:rPr>
          <w:rFonts w:ascii="Arial" w:hAnsi="Arial" w:cs="Arial"/>
        </w:rPr>
        <w:t xml:space="preserve"> </w:t>
      </w:r>
    </w:p>
    <w:p w14:paraId="76BD45B4"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confirming the thesis as being worthy of submission </w:t>
      </w:r>
    </w:p>
    <w:p w14:paraId="562808DE"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attendance at residential events, and conducting individual supervision with the students at these events </w:t>
      </w:r>
    </w:p>
    <w:p w14:paraId="58E91DDD" w14:textId="77777777" w:rsidR="002B4F65" w:rsidRPr="00753087" w:rsidRDefault="00CB3C1F">
      <w:pPr>
        <w:numPr>
          <w:ilvl w:val="0"/>
          <w:numId w:val="1"/>
        </w:numPr>
        <w:spacing w:after="196"/>
        <w:ind w:hanging="360"/>
        <w:rPr>
          <w:rFonts w:ascii="Arial" w:hAnsi="Arial" w:cs="Arial"/>
        </w:rPr>
      </w:pPr>
      <w:r w:rsidRPr="00753087">
        <w:rPr>
          <w:rFonts w:ascii="Arial" w:hAnsi="Arial" w:cs="Arial"/>
        </w:rPr>
        <w:t xml:space="preserve">completing Annual Progress Reports from year 3 onwards. </w:t>
      </w:r>
    </w:p>
    <w:p w14:paraId="022B92BD" w14:textId="77777777" w:rsidR="002B4F65" w:rsidRPr="00753087" w:rsidRDefault="00CB3C1F">
      <w:pPr>
        <w:spacing w:after="306"/>
        <w:rPr>
          <w:rFonts w:ascii="Arial" w:hAnsi="Arial" w:cs="Arial"/>
        </w:rPr>
      </w:pPr>
      <w:r w:rsidRPr="00753087">
        <w:rPr>
          <w:rFonts w:ascii="Arial" w:hAnsi="Arial" w:cs="Arial"/>
        </w:rPr>
        <w:t xml:space="preserve">More specifically, for each student the PD Main Supervisor is required to: </w:t>
      </w:r>
    </w:p>
    <w:p w14:paraId="5CA8FBE7"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contribute to twelve hours of supervision contact during each year of registration, at least half of this contact should be synchronous (e.g. via Skype, an appropriate online conferencing tool, or telephone), with the remaining contact being synchronous or asynchronous (e.g. e-mail), as agreed with the student. The Research Degree Regulations (PD 4.8) require all students to receive a minimum of 5 formal supervision meetings a year, ideally including one face-to-face. ‘Formal’ means that the meeting had been scheduled and that there are jointly agreed notes made on the meeting. The supervision sessions planned during PD residential weekends and day schools may be included towards this requirement. </w:t>
      </w:r>
    </w:p>
    <w:p w14:paraId="59D4C34E"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comment upon the formative assignments of their own student  </w:t>
      </w:r>
    </w:p>
    <w:p w14:paraId="525577E1" w14:textId="77777777" w:rsidR="002B4F65" w:rsidRPr="00753087" w:rsidRDefault="00CB3C1F">
      <w:pPr>
        <w:numPr>
          <w:ilvl w:val="0"/>
          <w:numId w:val="1"/>
        </w:numPr>
        <w:ind w:hanging="360"/>
        <w:rPr>
          <w:rFonts w:ascii="Arial" w:hAnsi="Arial" w:cs="Arial"/>
        </w:rPr>
      </w:pPr>
      <w:r w:rsidRPr="00753087">
        <w:rPr>
          <w:rFonts w:ascii="Arial" w:hAnsi="Arial" w:cs="Arial"/>
        </w:rPr>
        <w:t xml:space="preserve">mark and comment upon the Year 1 and 2 summative assignment of another student in a similar area, and remark it when appropriate </w:t>
      </w:r>
    </w:p>
    <w:p w14:paraId="33E4C5D6" w14:textId="77777777" w:rsidR="002B4F65" w:rsidRPr="00753087" w:rsidRDefault="00CB3C1F">
      <w:pPr>
        <w:numPr>
          <w:ilvl w:val="0"/>
          <w:numId w:val="1"/>
        </w:numPr>
        <w:spacing w:after="324"/>
        <w:ind w:hanging="360"/>
        <w:rPr>
          <w:rFonts w:ascii="Arial" w:hAnsi="Arial" w:cs="Arial"/>
        </w:rPr>
      </w:pPr>
      <w:r w:rsidRPr="00753087">
        <w:rPr>
          <w:rFonts w:ascii="Arial" w:hAnsi="Arial" w:cs="Arial"/>
        </w:rPr>
        <w:t xml:space="preserve">consult with the co-supervisor </w:t>
      </w:r>
      <w:proofErr w:type="gramStart"/>
      <w:r w:rsidRPr="00753087">
        <w:rPr>
          <w:rFonts w:ascii="Arial" w:hAnsi="Arial" w:cs="Arial"/>
        </w:rPr>
        <w:t>with regard to</w:t>
      </w:r>
      <w:proofErr w:type="gramEnd"/>
      <w:r w:rsidRPr="00753087">
        <w:rPr>
          <w:rFonts w:ascii="Arial" w:hAnsi="Arial" w:cs="Arial"/>
        </w:rPr>
        <w:t xml:space="preserve"> arrangements for the final viva examination to ensure that the supervision team nominates a panel and is aware of the date, etc. </w:t>
      </w:r>
    </w:p>
    <w:p w14:paraId="6A866713" w14:textId="79CB12DA" w:rsidR="002B4F65" w:rsidRDefault="002E537D" w:rsidP="002E537D">
      <w:pPr>
        <w:pStyle w:val="Heading2"/>
        <w:rPr>
          <w:rFonts w:ascii="Arial" w:hAnsi="Arial" w:cs="Arial"/>
        </w:rPr>
      </w:pPr>
      <w:r w:rsidRPr="002E537D">
        <w:rPr>
          <w:rFonts w:ascii="Arial" w:hAnsi="Arial" w:cs="Arial"/>
          <w:b/>
          <w:bCs/>
          <w:color w:val="auto"/>
          <w:sz w:val="24"/>
          <w:szCs w:val="18"/>
        </w:rPr>
        <w:t>3.</w:t>
      </w:r>
      <w:r>
        <w:rPr>
          <w:rFonts w:ascii="Arial" w:hAnsi="Arial" w:cs="Arial"/>
          <w:b/>
          <w:bCs/>
          <w:color w:val="auto"/>
          <w:sz w:val="24"/>
          <w:szCs w:val="18"/>
        </w:rPr>
        <w:t xml:space="preserve">2 </w:t>
      </w:r>
      <w:r w:rsidR="00CB3C1F" w:rsidRPr="002E537D">
        <w:rPr>
          <w:rFonts w:ascii="Arial" w:hAnsi="Arial" w:cs="Arial"/>
          <w:b/>
          <w:bCs/>
          <w:color w:val="auto"/>
          <w:sz w:val="24"/>
          <w:szCs w:val="18"/>
        </w:rPr>
        <w:t>Duties of co-supervisor</w:t>
      </w:r>
      <w:r w:rsidR="00CB3C1F" w:rsidRPr="00753087">
        <w:rPr>
          <w:rFonts w:ascii="Arial" w:hAnsi="Arial" w:cs="Arial"/>
        </w:rPr>
        <w:t xml:space="preserve"> </w:t>
      </w:r>
    </w:p>
    <w:p w14:paraId="73F41886" w14:textId="77777777" w:rsidR="002E537D" w:rsidRPr="002E537D" w:rsidRDefault="002E537D" w:rsidP="002E537D">
      <w:pPr>
        <w:pStyle w:val="ListParagraph"/>
        <w:ind w:left="10"/>
      </w:pPr>
    </w:p>
    <w:p w14:paraId="412D36EB" w14:textId="3EF8CD8B" w:rsidR="002B4F65" w:rsidRPr="00753087" w:rsidRDefault="00CB3C1F">
      <w:pPr>
        <w:spacing w:after="267"/>
        <w:rPr>
          <w:rFonts w:ascii="Arial" w:hAnsi="Arial" w:cs="Arial"/>
        </w:rPr>
      </w:pPr>
      <w:r w:rsidRPr="00753087">
        <w:rPr>
          <w:rFonts w:ascii="Arial" w:hAnsi="Arial" w:cs="Arial"/>
        </w:rPr>
        <w:t xml:space="preserve">Students will be assigned their second supervisor (the co-supervisor) in Year 2. The PD co-supervisor will supervise and provide academic support for students throughout this period </w:t>
      </w:r>
      <w:r w:rsidRPr="00753087">
        <w:rPr>
          <w:rFonts w:ascii="Arial" w:hAnsi="Arial" w:cs="Arial"/>
        </w:rPr>
        <w:lastRenderedPageBreak/>
        <w:t>of study, individually and/or in small groups, using computer mediated communication, telephone and face</w:t>
      </w:r>
      <w:r w:rsidR="00AB2929">
        <w:rPr>
          <w:rFonts w:ascii="Arial" w:hAnsi="Arial" w:cs="Arial"/>
        </w:rPr>
        <w:t>-</w:t>
      </w:r>
      <w:r w:rsidRPr="00753087">
        <w:rPr>
          <w:rFonts w:ascii="Arial" w:hAnsi="Arial" w:cs="Arial"/>
        </w:rPr>
        <w:t xml:space="preserve">to-face (at residential events) as required. This involves: </w:t>
      </w:r>
    </w:p>
    <w:p w14:paraId="7EA0A83D" w14:textId="77777777" w:rsidR="002B4F65" w:rsidRPr="00753087" w:rsidRDefault="00CB3C1F">
      <w:pPr>
        <w:numPr>
          <w:ilvl w:val="0"/>
          <w:numId w:val="2"/>
        </w:numPr>
        <w:ind w:hanging="432"/>
        <w:rPr>
          <w:rFonts w:ascii="Arial" w:hAnsi="Arial" w:cs="Arial"/>
        </w:rPr>
      </w:pPr>
      <w:r w:rsidRPr="00753087">
        <w:rPr>
          <w:rFonts w:ascii="Arial" w:hAnsi="Arial" w:cs="Arial"/>
        </w:rPr>
        <w:t xml:space="preserve">contributing to twelve hours of supervision during each year of registration (from Year 2). The OU supervision policy requires all students to receive a minimum of 5 formal supervision meetings a year, ideally including one face-to-face. ‘Formal’ means that the meeting had been scheduled and that there are jointly agreed notes made on the meeting. </w:t>
      </w:r>
    </w:p>
    <w:p w14:paraId="74632850" w14:textId="77777777" w:rsidR="002B4F65" w:rsidRPr="00753087" w:rsidRDefault="00CB3C1F">
      <w:pPr>
        <w:ind w:left="802"/>
        <w:rPr>
          <w:rFonts w:ascii="Arial" w:hAnsi="Arial" w:cs="Arial"/>
        </w:rPr>
      </w:pPr>
      <w:r w:rsidRPr="00753087">
        <w:rPr>
          <w:rFonts w:ascii="Arial" w:hAnsi="Arial" w:cs="Arial"/>
        </w:rPr>
        <w:t xml:space="preserve">The supervision sessions planned during PD residential weekends and day schools may be included towards this requirement. </w:t>
      </w:r>
    </w:p>
    <w:p w14:paraId="1B0E8485" w14:textId="77777777" w:rsidR="002B4F65" w:rsidRPr="00753087" w:rsidRDefault="00CB3C1F">
      <w:pPr>
        <w:numPr>
          <w:ilvl w:val="0"/>
          <w:numId w:val="2"/>
        </w:numPr>
        <w:ind w:hanging="432"/>
        <w:rPr>
          <w:rFonts w:ascii="Arial" w:hAnsi="Arial" w:cs="Arial"/>
        </w:rPr>
      </w:pPr>
      <w:r w:rsidRPr="00753087">
        <w:rPr>
          <w:rFonts w:ascii="Arial" w:hAnsi="Arial" w:cs="Arial"/>
        </w:rPr>
        <w:t xml:space="preserve">commenting upon the formative assignments of their own student and marking and commenting upon the summative assignment of one other PD student in a similar area, and remarking it when appropriate  </w:t>
      </w:r>
    </w:p>
    <w:p w14:paraId="16FE94BF" w14:textId="77777777" w:rsidR="002B4F65" w:rsidRPr="00753087" w:rsidRDefault="00CB3C1F">
      <w:pPr>
        <w:numPr>
          <w:ilvl w:val="0"/>
          <w:numId w:val="2"/>
        </w:numPr>
        <w:ind w:hanging="432"/>
        <w:rPr>
          <w:rFonts w:ascii="Arial" w:hAnsi="Arial" w:cs="Arial"/>
        </w:rPr>
      </w:pPr>
      <w:r w:rsidRPr="00753087">
        <w:rPr>
          <w:rFonts w:ascii="Arial" w:hAnsi="Arial" w:cs="Arial"/>
        </w:rPr>
        <w:t xml:space="preserve">confirming the thesis as being worthy of submission </w:t>
      </w:r>
    </w:p>
    <w:p w14:paraId="3F9D203B" w14:textId="77777777" w:rsidR="002B4F65" w:rsidRPr="00753087" w:rsidRDefault="00CB3C1F">
      <w:pPr>
        <w:numPr>
          <w:ilvl w:val="0"/>
          <w:numId w:val="2"/>
        </w:numPr>
        <w:spacing w:after="63"/>
        <w:ind w:hanging="432"/>
        <w:rPr>
          <w:rFonts w:ascii="Arial" w:hAnsi="Arial" w:cs="Arial"/>
        </w:rPr>
      </w:pPr>
      <w:r w:rsidRPr="00753087">
        <w:rPr>
          <w:rFonts w:ascii="Arial" w:hAnsi="Arial" w:cs="Arial"/>
        </w:rPr>
        <w:t>attendance at the residential events</w:t>
      </w:r>
      <w:r w:rsidRPr="00753087">
        <w:rPr>
          <w:rFonts w:ascii="Arial" w:hAnsi="Arial" w:cs="Arial"/>
          <w:sz w:val="21"/>
        </w:rPr>
        <w:t xml:space="preserve"> </w:t>
      </w:r>
      <w:r w:rsidRPr="00753087">
        <w:rPr>
          <w:rFonts w:ascii="Arial" w:hAnsi="Arial" w:cs="Arial"/>
        </w:rPr>
        <w:t xml:space="preserve">and conducting individual supervision with the students at these events </w:t>
      </w:r>
    </w:p>
    <w:p w14:paraId="09EA3DCB" w14:textId="77777777" w:rsidR="002B4F65" w:rsidRPr="00753087" w:rsidRDefault="00CB3C1F">
      <w:pPr>
        <w:numPr>
          <w:ilvl w:val="0"/>
          <w:numId w:val="2"/>
        </w:numPr>
        <w:spacing w:after="292"/>
        <w:ind w:hanging="432"/>
        <w:rPr>
          <w:rFonts w:ascii="Arial" w:hAnsi="Arial" w:cs="Arial"/>
        </w:rPr>
      </w:pPr>
      <w:r w:rsidRPr="00753087">
        <w:rPr>
          <w:rFonts w:ascii="Arial" w:hAnsi="Arial" w:cs="Arial"/>
        </w:rPr>
        <w:t xml:space="preserve">completing Annual Progress Reports from year 3 onwards. </w:t>
      </w:r>
    </w:p>
    <w:p w14:paraId="7A515DB9" w14:textId="4E7E5DCB" w:rsidR="002B4F65" w:rsidRDefault="00112D1A" w:rsidP="00112D1A">
      <w:pPr>
        <w:pStyle w:val="Heading2"/>
        <w:rPr>
          <w:rFonts w:ascii="Arial" w:hAnsi="Arial" w:cs="Arial"/>
        </w:rPr>
      </w:pPr>
      <w:r w:rsidRPr="00112D1A">
        <w:rPr>
          <w:rFonts w:ascii="Arial" w:hAnsi="Arial" w:cs="Arial"/>
          <w:b/>
          <w:bCs/>
          <w:color w:val="auto"/>
          <w:sz w:val="24"/>
          <w:szCs w:val="18"/>
        </w:rPr>
        <w:t>3.</w:t>
      </w:r>
      <w:r>
        <w:rPr>
          <w:rFonts w:ascii="Arial" w:hAnsi="Arial" w:cs="Arial"/>
          <w:b/>
          <w:bCs/>
          <w:color w:val="auto"/>
          <w:sz w:val="24"/>
          <w:szCs w:val="18"/>
        </w:rPr>
        <w:t xml:space="preserve">3 </w:t>
      </w:r>
      <w:r w:rsidR="00CB3C1F" w:rsidRPr="002E537D">
        <w:rPr>
          <w:rFonts w:ascii="Arial" w:hAnsi="Arial" w:cs="Arial"/>
          <w:b/>
          <w:bCs/>
          <w:color w:val="auto"/>
          <w:sz w:val="24"/>
          <w:szCs w:val="18"/>
        </w:rPr>
        <w:t>Responsibilities of the mentor</w:t>
      </w:r>
      <w:r w:rsidR="00CB3C1F" w:rsidRPr="00753087">
        <w:rPr>
          <w:rFonts w:ascii="Arial" w:hAnsi="Arial" w:cs="Arial"/>
        </w:rPr>
        <w:t xml:space="preserve">  </w:t>
      </w:r>
      <w:r w:rsidR="00CB3C1F" w:rsidRPr="00753087">
        <w:rPr>
          <w:rFonts w:ascii="Arial" w:hAnsi="Arial" w:cs="Arial"/>
        </w:rPr>
        <w:tab/>
        <w:t xml:space="preserve">  </w:t>
      </w:r>
    </w:p>
    <w:p w14:paraId="4D1E5F9C" w14:textId="77777777" w:rsidR="00112D1A" w:rsidRPr="00112D1A" w:rsidRDefault="00112D1A" w:rsidP="00112D1A">
      <w:pPr>
        <w:pStyle w:val="ListParagraph"/>
        <w:ind w:left="10"/>
      </w:pPr>
    </w:p>
    <w:p w14:paraId="1E857F44" w14:textId="77777777" w:rsidR="002B4F65" w:rsidRPr="00753087" w:rsidRDefault="00CB3C1F">
      <w:pPr>
        <w:spacing w:after="230"/>
        <w:rPr>
          <w:rFonts w:ascii="Arial" w:hAnsi="Arial" w:cs="Arial"/>
        </w:rPr>
      </w:pPr>
      <w:r w:rsidRPr="00753087">
        <w:rPr>
          <w:rFonts w:ascii="Arial" w:hAnsi="Arial" w:cs="Arial"/>
        </w:rPr>
        <w:t xml:space="preserve">Main and co-supervisors who are new to research degree supervision, or have not supervised to completion, will be paired with an experienced mentor, i.e. a supervisor with supervision to completion.  </w:t>
      </w:r>
    </w:p>
    <w:p w14:paraId="02700D54" w14:textId="69F22576" w:rsidR="002B4F65" w:rsidRPr="00753087" w:rsidRDefault="00CB3C1F">
      <w:pPr>
        <w:spacing w:after="125" w:line="275" w:lineRule="auto"/>
        <w:ind w:left="0" w:firstLine="0"/>
        <w:rPr>
          <w:rFonts w:ascii="Arial" w:hAnsi="Arial" w:cs="Arial"/>
        </w:rPr>
      </w:pPr>
      <w:r w:rsidRPr="00753087">
        <w:rPr>
          <w:rFonts w:ascii="Arial" w:hAnsi="Arial" w:cs="Arial"/>
        </w:rPr>
        <w:t>A mentor will support a main supervisor during the student’s first year. Mentors will be offered the role of co-supervisor during the second year. All new main supervisors will be mentored by their co</w:t>
      </w:r>
      <w:r w:rsidR="00AB2929">
        <w:rPr>
          <w:rFonts w:ascii="Arial" w:hAnsi="Arial" w:cs="Arial"/>
        </w:rPr>
        <w:t>-</w:t>
      </w:r>
      <w:r w:rsidRPr="00753087">
        <w:rPr>
          <w:rFonts w:ascii="Arial" w:hAnsi="Arial" w:cs="Arial"/>
        </w:rPr>
        <w:t xml:space="preserve">supervisor from year 2 and throughout the student’s study, this will include active participation in supervision as evidenced by relevant documentation. </w:t>
      </w:r>
    </w:p>
    <w:p w14:paraId="1FBBF6C8" w14:textId="77777777" w:rsidR="002B4F65" w:rsidRPr="00753087" w:rsidRDefault="00CB3C1F">
      <w:pPr>
        <w:spacing w:after="252"/>
        <w:rPr>
          <w:rFonts w:ascii="Arial" w:hAnsi="Arial" w:cs="Arial"/>
        </w:rPr>
      </w:pPr>
      <w:r w:rsidRPr="00753087">
        <w:rPr>
          <w:rFonts w:ascii="Arial" w:hAnsi="Arial" w:cs="Arial"/>
        </w:rPr>
        <w:t xml:space="preserve">Co-supervisors who are new to research degree supervision will be mentored by the main supervisor. </w:t>
      </w:r>
    </w:p>
    <w:p w14:paraId="08F71108" w14:textId="77777777" w:rsidR="002B4F65" w:rsidRPr="00112D1A" w:rsidRDefault="00CB3C1F">
      <w:pPr>
        <w:spacing w:after="75" w:line="259" w:lineRule="auto"/>
        <w:ind w:left="-5"/>
        <w:rPr>
          <w:rFonts w:ascii="Arial" w:hAnsi="Arial" w:cs="Arial"/>
          <w:color w:val="auto"/>
        </w:rPr>
      </w:pPr>
      <w:r w:rsidRPr="00112D1A">
        <w:rPr>
          <w:rFonts w:ascii="Arial" w:hAnsi="Arial" w:cs="Arial"/>
          <w:color w:val="auto"/>
          <w:sz w:val="24"/>
        </w:rPr>
        <w:t xml:space="preserve">Who can be a mentor?  </w:t>
      </w:r>
    </w:p>
    <w:p w14:paraId="09551722" w14:textId="77777777" w:rsidR="002B4F65" w:rsidRPr="00753087" w:rsidRDefault="00CB3C1F">
      <w:pPr>
        <w:numPr>
          <w:ilvl w:val="0"/>
          <w:numId w:val="3"/>
        </w:numPr>
        <w:spacing w:after="40" w:line="267" w:lineRule="auto"/>
        <w:ind w:hanging="360"/>
        <w:rPr>
          <w:rFonts w:ascii="Arial" w:hAnsi="Arial" w:cs="Arial"/>
        </w:rPr>
      </w:pPr>
      <w:r w:rsidRPr="00753087">
        <w:rPr>
          <w:rFonts w:ascii="Arial" w:hAnsi="Arial" w:cs="Arial"/>
          <w:sz w:val="21"/>
        </w:rPr>
        <w:t xml:space="preserve">An internal or external academic with supervision to completion  </w:t>
      </w:r>
    </w:p>
    <w:p w14:paraId="206521CF" w14:textId="77777777" w:rsidR="002B4F65" w:rsidRPr="00753087" w:rsidRDefault="00CB3C1F">
      <w:pPr>
        <w:numPr>
          <w:ilvl w:val="0"/>
          <w:numId w:val="3"/>
        </w:numPr>
        <w:spacing w:after="40" w:line="267" w:lineRule="auto"/>
        <w:ind w:hanging="360"/>
        <w:rPr>
          <w:rFonts w:ascii="Arial" w:hAnsi="Arial" w:cs="Arial"/>
        </w:rPr>
      </w:pPr>
      <w:r w:rsidRPr="00753087">
        <w:rPr>
          <w:rFonts w:ascii="Arial" w:hAnsi="Arial" w:cs="Arial"/>
          <w:sz w:val="21"/>
        </w:rPr>
        <w:t xml:space="preserve">An academic with an understanding of professional doctorates  </w:t>
      </w:r>
    </w:p>
    <w:p w14:paraId="62CECD5A" w14:textId="77777777" w:rsidR="002B4F65" w:rsidRPr="00753087" w:rsidRDefault="00CB3C1F">
      <w:pPr>
        <w:numPr>
          <w:ilvl w:val="0"/>
          <w:numId w:val="3"/>
        </w:numPr>
        <w:spacing w:after="255" w:line="267" w:lineRule="auto"/>
        <w:ind w:hanging="360"/>
        <w:rPr>
          <w:rFonts w:ascii="Arial" w:hAnsi="Arial" w:cs="Arial"/>
        </w:rPr>
      </w:pPr>
      <w:r w:rsidRPr="00753087">
        <w:rPr>
          <w:rFonts w:ascii="Arial" w:hAnsi="Arial" w:cs="Arial"/>
          <w:sz w:val="21"/>
        </w:rPr>
        <w:t xml:space="preserve">An academic with research expertise in the relevant area  </w:t>
      </w:r>
    </w:p>
    <w:p w14:paraId="32A8D6A7" w14:textId="77777777" w:rsidR="002B4F65" w:rsidRPr="00753087" w:rsidRDefault="00CB3C1F">
      <w:pPr>
        <w:spacing w:after="75" w:line="259" w:lineRule="auto"/>
        <w:ind w:left="-5"/>
        <w:rPr>
          <w:rFonts w:ascii="Arial" w:hAnsi="Arial" w:cs="Arial"/>
        </w:rPr>
      </w:pPr>
      <w:r w:rsidRPr="00112D1A">
        <w:rPr>
          <w:rFonts w:ascii="Arial" w:hAnsi="Arial" w:cs="Arial"/>
          <w:color w:val="auto"/>
          <w:sz w:val="24"/>
        </w:rPr>
        <w:t xml:space="preserve">Responsibilities of a mentor  </w:t>
      </w:r>
    </w:p>
    <w:p w14:paraId="123FA029" w14:textId="77777777" w:rsidR="002B4F65" w:rsidRPr="00753087" w:rsidRDefault="00CB3C1F">
      <w:pPr>
        <w:spacing w:after="270"/>
        <w:rPr>
          <w:rFonts w:ascii="Arial" w:hAnsi="Arial" w:cs="Arial"/>
        </w:rPr>
      </w:pPr>
      <w:r w:rsidRPr="00753087">
        <w:rPr>
          <w:rFonts w:ascii="Arial" w:hAnsi="Arial" w:cs="Arial"/>
        </w:rPr>
        <w:t xml:space="preserve">Mentors will support supervisors through: </w:t>
      </w:r>
    </w:p>
    <w:p w14:paraId="2DEFF00E" w14:textId="77777777" w:rsidR="002B4F65" w:rsidRPr="00753087" w:rsidRDefault="00CB3C1F">
      <w:pPr>
        <w:numPr>
          <w:ilvl w:val="0"/>
          <w:numId w:val="4"/>
        </w:numPr>
        <w:ind w:hanging="360"/>
        <w:rPr>
          <w:rFonts w:ascii="Arial" w:hAnsi="Arial" w:cs="Arial"/>
        </w:rPr>
      </w:pPr>
      <w:r w:rsidRPr="00753087">
        <w:rPr>
          <w:rFonts w:ascii="Arial" w:hAnsi="Arial" w:cs="Arial"/>
        </w:rPr>
        <w:t xml:space="preserve">Advising on issues of student progress </w:t>
      </w:r>
    </w:p>
    <w:p w14:paraId="68D91489" w14:textId="77777777" w:rsidR="002B4F65" w:rsidRPr="00753087" w:rsidRDefault="00CB3C1F">
      <w:pPr>
        <w:numPr>
          <w:ilvl w:val="0"/>
          <w:numId w:val="4"/>
        </w:numPr>
        <w:ind w:hanging="360"/>
        <w:rPr>
          <w:rFonts w:ascii="Arial" w:hAnsi="Arial" w:cs="Arial"/>
        </w:rPr>
      </w:pPr>
      <w:r w:rsidRPr="00753087">
        <w:rPr>
          <w:rFonts w:ascii="Arial" w:hAnsi="Arial" w:cs="Arial"/>
        </w:rPr>
        <w:t xml:space="preserve">Advising on level 8 expectations </w:t>
      </w:r>
    </w:p>
    <w:p w14:paraId="6AF5C899" w14:textId="77777777" w:rsidR="002B4F65" w:rsidRPr="00753087" w:rsidRDefault="00CB3C1F">
      <w:pPr>
        <w:numPr>
          <w:ilvl w:val="0"/>
          <w:numId w:val="4"/>
        </w:numPr>
        <w:ind w:hanging="360"/>
        <w:rPr>
          <w:rFonts w:ascii="Arial" w:hAnsi="Arial" w:cs="Arial"/>
        </w:rPr>
      </w:pPr>
      <w:r w:rsidRPr="00753087">
        <w:rPr>
          <w:rFonts w:ascii="Arial" w:hAnsi="Arial" w:cs="Arial"/>
        </w:rPr>
        <w:t xml:space="preserve">Advising on how to manage problems </w:t>
      </w:r>
    </w:p>
    <w:p w14:paraId="721D86F2" w14:textId="77777777" w:rsidR="002B4F65" w:rsidRPr="00753087" w:rsidRDefault="00CB3C1F">
      <w:pPr>
        <w:numPr>
          <w:ilvl w:val="0"/>
          <w:numId w:val="4"/>
        </w:numPr>
        <w:ind w:hanging="360"/>
        <w:rPr>
          <w:rFonts w:ascii="Arial" w:hAnsi="Arial" w:cs="Arial"/>
        </w:rPr>
      </w:pPr>
      <w:r w:rsidRPr="00753087">
        <w:rPr>
          <w:rFonts w:ascii="Arial" w:hAnsi="Arial" w:cs="Arial"/>
        </w:rPr>
        <w:t xml:space="preserve">Reading supervisor feedback on the two formative assignments in Year 1 and discussing it with them in terms of:  </w:t>
      </w:r>
    </w:p>
    <w:p w14:paraId="71CEEB5F" w14:textId="77777777" w:rsidR="002B4F65" w:rsidRPr="00753087" w:rsidRDefault="00CB3C1F">
      <w:pPr>
        <w:numPr>
          <w:ilvl w:val="1"/>
          <w:numId w:val="3"/>
        </w:numPr>
        <w:spacing w:after="16" w:line="275" w:lineRule="auto"/>
        <w:ind w:hanging="360"/>
        <w:rPr>
          <w:rFonts w:ascii="Arial" w:hAnsi="Arial" w:cs="Arial"/>
        </w:rPr>
      </w:pPr>
      <w:r w:rsidRPr="00753087">
        <w:rPr>
          <w:rFonts w:ascii="Arial" w:hAnsi="Arial" w:cs="Arial"/>
        </w:rPr>
        <w:t xml:space="preserve">the extent to which it focuses on evaluating the student’s work in terms of the assessment criteria  </w:t>
      </w:r>
    </w:p>
    <w:p w14:paraId="2A288649" w14:textId="77777777" w:rsidR="002B4F65" w:rsidRPr="00753087" w:rsidRDefault="00CB3C1F">
      <w:pPr>
        <w:numPr>
          <w:ilvl w:val="1"/>
          <w:numId w:val="3"/>
        </w:numPr>
        <w:ind w:hanging="360"/>
        <w:rPr>
          <w:rFonts w:ascii="Arial" w:hAnsi="Arial" w:cs="Arial"/>
        </w:rPr>
      </w:pPr>
      <w:r w:rsidRPr="00753087">
        <w:rPr>
          <w:rFonts w:ascii="Arial" w:hAnsi="Arial" w:cs="Arial"/>
        </w:rPr>
        <w:lastRenderedPageBreak/>
        <w:t xml:space="preserve">its sensitivity, skilful identification of issues, and its supportive </w:t>
      </w:r>
      <w:proofErr w:type="gramStart"/>
      <w:r w:rsidRPr="00753087">
        <w:rPr>
          <w:rFonts w:ascii="Arial" w:hAnsi="Arial" w:cs="Arial"/>
        </w:rPr>
        <w:t xml:space="preserve">tone  </w:t>
      </w:r>
      <w:proofErr w:type="spellStart"/>
      <w:r w:rsidRPr="00753087">
        <w:rPr>
          <w:rFonts w:ascii="Arial" w:eastAsia="Courier New" w:hAnsi="Arial" w:cs="Arial"/>
          <w:sz w:val="20"/>
        </w:rPr>
        <w:t>o</w:t>
      </w:r>
      <w:proofErr w:type="spellEnd"/>
      <w:proofErr w:type="gramEnd"/>
      <w:r w:rsidRPr="00753087">
        <w:rPr>
          <w:rFonts w:ascii="Arial" w:eastAsia="Arial" w:hAnsi="Arial" w:cs="Arial"/>
          <w:sz w:val="20"/>
        </w:rPr>
        <w:t xml:space="preserve"> </w:t>
      </w:r>
      <w:r w:rsidRPr="00753087">
        <w:rPr>
          <w:rFonts w:ascii="Arial" w:eastAsia="Arial" w:hAnsi="Arial" w:cs="Arial"/>
          <w:sz w:val="20"/>
        </w:rPr>
        <w:tab/>
      </w:r>
      <w:r w:rsidRPr="00753087">
        <w:rPr>
          <w:rFonts w:ascii="Arial" w:hAnsi="Arial" w:cs="Arial"/>
        </w:rPr>
        <w:t xml:space="preserve">how it feeds forwards  </w:t>
      </w:r>
    </w:p>
    <w:p w14:paraId="6FB47236" w14:textId="77777777" w:rsidR="002B4F65" w:rsidRPr="00753087" w:rsidRDefault="00CB3C1F">
      <w:pPr>
        <w:numPr>
          <w:ilvl w:val="1"/>
          <w:numId w:val="3"/>
        </w:numPr>
        <w:ind w:hanging="360"/>
        <w:rPr>
          <w:rFonts w:ascii="Arial" w:hAnsi="Arial" w:cs="Arial"/>
        </w:rPr>
      </w:pPr>
      <w:r w:rsidRPr="00753087">
        <w:rPr>
          <w:rFonts w:ascii="Arial" w:hAnsi="Arial" w:cs="Arial"/>
        </w:rPr>
        <w:t xml:space="preserve">the extent to which it reflects the notion of supervision as pedagogy  </w:t>
      </w:r>
    </w:p>
    <w:p w14:paraId="788E7DB2" w14:textId="77777777" w:rsidR="002B4F65" w:rsidRPr="00753087" w:rsidRDefault="00CB3C1F">
      <w:pPr>
        <w:numPr>
          <w:ilvl w:val="1"/>
          <w:numId w:val="3"/>
        </w:numPr>
        <w:spacing w:after="226" w:line="275" w:lineRule="auto"/>
        <w:ind w:hanging="360"/>
        <w:rPr>
          <w:rFonts w:ascii="Arial" w:hAnsi="Arial" w:cs="Arial"/>
        </w:rPr>
      </w:pPr>
      <w:r w:rsidRPr="00753087">
        <w:rPr>
          <w:rFonts w:ascii="Arial" w:hAnsi="Arial" w:cs="Arial"/>
        </w:rPr>
        <w:t xml:space="preserve">the extent to which it takes account of the student’s professional role, identity, and workplace context.  </w:t>
      </w:r>
    </w:p>
    <w:p w14:paraId="0D790E14" w14:textId="09940327" w:rsidR="002B4F65" w:rsidRDefault="00CB3C1F">
      <w:pPr>
        <w:rPr>
          <w:rFonts w:ascii="Arial" w:hAnsi="Arial" w:cs="Arial"/>
        </w:rPr>
      </w:pPr>
      <w:r w:rsidRPr="00753087">
        <w:rPr>
          <w:rFonts w:ascii="Arial" w:hAnsi="Arial" w:cs="Arial"/>
        </w:rPr>
        <w:t>During the first year, mentors will communicate with supervisors via a dedicated forum space (under the area</w:t>
      </w:r>
      <w:hyperlink r:id="rId14">
        <w:r w:rsidRPr="00753087">
          <w:rPr>
            <w:rFonts w:ascii="Arial" w:hAnsi="Arial" w:cs="Arial"/>
          </w:rPr>
          <w:t xml:space="preserve"> </w:t>
        </w:r>
      </w:hyperlink>
      <w:hyperlink r:id="rId15">
        <w:r w:rsidRPr="00753087">
          <w:rPr>
            <w:rFonts w:ascii="Arial" w:hAnsi="Arial" w:cs="Arial"/>
            <w:color w:val="0563C1"/>
            <w:u w:val="single" w:color="0563C1"/>
          </w:rPr>
          <w:t>‘monitoring new s</w:t>
        </w:r>
        <w:r w:rsidRPr="00753087">
          <w:rPr>
            <w:rFonts w:ascii="Arial" w:hAnsi="Arial" w:cs="Arial"/>
            <w:color w:val="0563C1"/>
            <w:u w:val="single" w:color="0563C1"/>
          </w:rPr>
          <w:t>u</w:t>
        </w:r>
        <w:r w:rsidRPr="00753087">
          <w:rPr>
            <w:rFonts w:ascii="Arial" w:hAnsi="Arial" w:cs="Arial"/>
            <w:color w:val="0563C1"/>
            <w:u w:val="single" w:color="0563C1"/>
          </w:rPr>
          <w:t>pervisors’</w:t>
        </w:r>
      </w:hyperlink>
      <w:hyperlink r:id="rId16">
        <w:r w:rsidRPr="00753087">
          <w:rPr>
            <w:rFonts w:ascii="Arial" w:hAnsi="Arial" w:cs="Arial"/>
          </w:rPr>
          <w:t>)</w:t>
        </w:r>
      </w:hyperlink>
      <w:r w:rsidRPr="00753087">
        <w:rPr>
          <w:rFonts w:ascii="Arial" w:hAnsi="Arial" w:cs="Arial"/>
        </w:rPr>
        <w:t xml:space="preserve"> on the </w:t>
      </w:r>
      <w:hyperlink r:id="rId17">
        <w:r w:rsidRPr="00753087">
          <w:rPr>
            <w:rFonts w:ascii="Arial" w:hAnsi="Arial" w:cs="Arial"/>
            <w:color w:val="0563C1"/>
            <w:u w:val="single" w:color="0563C1"/>
          </w:rPr>
          <w:t>Professional Doctorate Supervisor</w:t>
        </w:r>
      </w:hyperlink>
      <w:hyperlink r:id="rId18">
        <w:r w:rsidRPr="00753087">
          <w:rPr>
            <w:rFonts w:ascii="Arial" w:hAnsi="Arial" w:cs="Arial"/>
          </w:rPr>
          <w:t xml:space="preserve"> </w:t>
        </w:r>
      </w:hyperlink>
      <w:r w:rsidRPr="00753087">
        <w:rPr>
          <w:rFonts w:ascii="Arial" w:hAnsi="Arial" w:cs="Arial"/>
        </w:rPr>
        <w:t xml:space="preserve">website. </w:t>
      </w:r>
    </w:p>
    <w:p w14:paraId="0E499622" w14:textId="77777777" w:rsidR="00AB2929" w:rsidRPr="00753087" w:rsidRDefault="00AB2929">
      <w:pPr>
        <w:rPr>
          <w:rFonts w:ascii="Arial" w:hAnsi="Arial" w:cs="Arial"/>
        </w:rPr>
      </w:pPr>
    </w:p>
    <w:p w14:paraId="781DC4D8" w14:textId="77777777" w:rsidR="002B4F65" w:rsidRPr="00753087" w:rsidRDefault="00CB3C1F">
      <w:pPr>
        <w:spacing w:after="250"/>
        <w:rPr>
          <w:rFonts w:ascii="Arial" w:hAnsi="Arial" w:cs="Arial"/>
        </w:rPr>
      </w:pPr>
      <w:r w:rsidRPr="00753087">
        <w:rPr>
          <w:rFonts w:ascii="Arial" w:hAnsi="Arial" w:cs="Arial"/>
        </w:rPr>
        <w:t xml:space="preserve">Supervisors will need to allow time for mentors to comment on assignments before the feedback to student deadline.  </w:t>
      </w:r>
    </w:p>
    <w:p w14:paraId="2915796C" w14:textId="77777777" w:rsidR="002B4F65" w:rsidRPr="00112D1A" w:rsidRDefault="00CB3C1F">
      <w:pPr>
        <w:spacing w:after="75" w:line="259" w:lineRule="auto"/>
        <w:ind w:left="-5"/>
        <w:rPr>
          <w:rFonts w:ascii="Arial" w:hAnsi="Arial" w:cs="Arial"/>
          <w:color w:val="auto"/>
        </w:rPr>
      </w:pPr>
      <w:r w:rsidRPr="00112D1A">
        <w:rPr>
          <w:rFonts w:ascii="Arial" w:hAnsi="Arial" w:cs="Arial"/>
          <w:color w:val="auto"/>
          <w:sz w:val="24"/>
        </w:rPr>
        <w:t xml:space="preserve">Reporting  </w:t>
      </w:r>
    </w:p>
    <w:p w14:paraId="37DFEDE4" w14:textId="77777777" w:rsidR="002B4F65" w:rsidRPr="00753087" w:rsidRDefault="00CB3C1F">
      <w:pPr>
        <w:spacing w:after="275"/>
        <w:rPr>
          <w:rFonts w:ascii="Arial" w:hAnsi="Arial" w:cs="Arial"/>
        </w:rPr>
      </w:pPr>
      <w:r w:rsidRPr="00753087">
        <w:rPr>
          <w:rFonts w:ascii="Arial" w:hAnsi="Arial" w:cs="Arial"/>
        </w:rPr>
        <w:t xml:space="preserve">Mentors and supervisors will report issues about mentoring to Area Lead or Programme Leader. </w:t>
      </w:r>
    </w:p>
    <w:p w14:paraId="24B60C83" w14:textId="43501813" w:rsidR="002B4F65" w:rsidRDefault="00CB3C1F" w:rsidP="002E537D">
      <w:pPr>
        <w:pStyle w:val="Heading2"/>
        <w:rPr>
          <w:rFonts w:ascii="Arial" w:hAnsi="Arial" w:cs="Arial"/>
          <w:b/>
          <w:bCs/>
          <w:color w:val="auto"/>
          <w:sz w:val="24"/>
          <w:szCs w:val="18"/>
        </w:rPr>
      </w:pPr>
      <w:r w:rsidRPr="002E537D">
        <w:rPr>
          <w:rFonts w:ascii="Arial" w:hAnsi="Arial" w:cs="Arial"/>
          <w:b/>
          <w:bCs/>
          <w:color w:val="auto"/>
          <w:sz w:val="24"/>
          <w:szCs w:val="18"/>
        </w:rPr>
        <w:t xml:space="preserve">3.4 Conditions of appointment of supervisors </w:t>
      </w:r>
    </w:p>
    <w:p w14:paraId="72B865CB" w14:textId="77777777" w:rsidR="00112D1A" w:rsidRPr="00112D1A" w:rsidRDefault="00112D1A" w:rsidP="00112D1A"/>
    <w:p w14:paraId="770AB868" w14:textId="77777777" w:rsidR="002B4F65" w:rsidRPr="00753087" w:rsidRDefault="00CB3C1F">
      <w:pPr>
        <w:rPr>
          <w:rFonts w:ascii="Arial" w:hAnsi="Arial" w:cs="Arial"/>
        </w:rPr>
      </w:pPr>
      <w:r w:rsidRPr="00753087">
        <w:rPr>
          <w:rFonts w:ascii="Arial" w:hAnsi="Arial" w:cs="Arial"/>
        </w:rPr>
        <w:t xml:space="preserve">The requirements for the appointment of supervisors are outlined in the Research Degree </w:t>
      </w:r>
    </w:p>
    <w:p w14:paraId="71515E2C" w14:textId="77777777" w:rsidR="002B4F65" w:rsidRPr="00753087" w:rsidRDefault="00CB3C1F">
      <w:pPr>
        <w:spacing w:after="276"/>
        <w:rPr>
          <w:rFonts w:ascii="Arial" w:hAnsi="Arial" w:cs="Arial"/>
        </w:rPr>
      </w:pPr>
      <w:r w:rsidRPr="00753087">
        <w:rPr>
          <w:rFonts w:ascii="Arial" w:hAnsi="Arial" w:cs="Arial"/>
        </w:rPr>
        <w:t xml:space="preserve">Regulations. In addition, those appointed as PD main supervisors and co-supervisors have: </w:t>
      </w:r>
    </w:p>
    <w:p w14:paraId="5996A981" w14:textId="77777777" w:rsidR="002B4F65" w:rsidRPr="00753087" w:rsidRDefault="00CB3C1F">
      <w:pPr>
        <w:numPr>
          <w:ilvl w:val="0"/>
          <w:numId w:val="5"/>
        </w:numPr>
        <w:ind w:hanging="360"/>
        <w:rPr>
          <w:rFonts w:ascii="Arial" w:hAnsi="Arial" w:cs="Arial"/>
        </w:rPr>
      </w:pPr>
      <w:r w:rsidRPr="00753087">
        <w:rPr>
          <w:rFonts w:ascii="Arial" w:hAnsi="Arial" w:cs="Arial"/>
        </w:rPr>
        <w:t>expert knowledge of the relevant topic area or areas or the research methodology to be employed</w:t>
      </w:r>
      <w:r w:rsidRPr="00753087">
        <w:rPr>
          <w:rFonts w:ascii="Arial" w:hAnsi="Arial" w:cs="Arial"/>
          <w:sz w:val="21"/>
        </w:rPr>
        <w:t xml:space="preserve"> </w:t>
      </w:r>
    </w:p>
    <w:p w14:paraId="03F1ACE2" w14:textId="77777777" w:rsidR="002B4F65" w:rsidRPr="00753087" w:rsidRDefault="00CB3C1F">
      <w:pPr>
        <w:numPr>
          <w:ilvl w:val="0"/>
          <w:numId w:val="5"/>
        </w:numPr>
        <w:ind w:hanging="360"/>
        <w:rPr>
          <w:rFonts w:ascii="Arial" w:hAnsi="Arial" w:cs="Arial"/>
        </w:rPr>
      </w:pPr>
      <w:r w:rsidRPr="00753087">
        <w:rPr>
          <w:rFonts w:ascii="Arial" w:hAnsi="Arial" w:cs="Arial"/>
        </w:rPr>
        <w:t>supervision skills and competence (or for new supervisors the potential to develop these)</w:t>
      </w:r>
      <w:r w:rsidRPr="00753087">
        <w:rPr>
          <w:rFonts w:ascii="Arial" w:hAnsi="Arial" w:cs="Arial"/>
          <w:sz w:val="21"/>
        </w:rPr>
        <w:t xml:space="preserve"> </w:t>
      </w:r>
    </w:p>
    <w:p w14:paraId="6982069B" w14:textId="77777777" w:rsidR="002B4F65" w:rsidRPr="00753087" w:rsidRDefault="00CB3C1F">
      <w:pPr>
        <w:numPr>
          <w:ilvl w:val="0"/>
          <w:numId w:val="5"/>
        </w:numPr>
        <w:ind w:hanging="360"/>
        <w:rPr>
          <w:rFonts w:ascii="Arial" w:hAnsi="Arial" w:cs="Arial"/>
        </w:rPr>
      </w:pPr>
      <w:r w:rsidRPr="00753087">
        <w:rPr>
          <w:rFonts w:ascii="Arial" w:hAnsi="Arial" w:cs="Arial"/>
        </w:rPr>
        <w:t>critical understanding of the research process</w:t>
      </w:r>
      <w:r w:rsidRPr="00753087">
        <w:rPr>
          <w:rFonts w:ascii="Arial" w:hAnsi="Arial" w:cs="Arial"/>
          <w:sz w:val="21"/>
        </w:rPr>
        <w:t xml:space="preserve"> </w:t>
      </w:r>
    </w:p>
    <w:p w14:paraId="3C446477" w14:textId="77777777" w:rsidR="002B4F65" w:rsidRPr="00753087" w:rsidRDefault="00CB3C1F">
      <w:pPr>
        <w:numPr>
          <w:ilvl w:val="0"/>
          <w:numId w:val="5"/>
        </w:numPr>
        <w:ind w:hanging="360"/>
        <w:rPr>
          <w:rFonts w:ascii="Arial" w:hAnsi="Arial" w:cs="Arial"/>
        </w:rPr>
      </w:pPr>
      <w:r w:rsidRPr="00753087">
        <w:rPr>
          <w:rFonts w:ascii="Arial" w:hAnsi="Arial" w:cs="Arial"/>
        </w:rPr>
        <w:t>familiarity with research methods</w:t>
      </w:r>
      <w:r w:rsidRPr="00753087">
        <w:rPr>
          <w:rFonts w:ascii="Arial" w:hAnsi="Arial" w:cs="Arial"/>
          <w:sz w:val="21"/>
        </w:rPr>
        <w:t xml:space="preserve"> </w:t>
      </w:r>
    </w:p>
    <w:p w14:paraId="26CF023F" w14:textId="77777777" w:rsidR="002B4F65" w:rsidRPr="00753087" w:rsidRDefault="00CB3C1F">
      <w:pPr>
        <w:numPr>
          <w:ilvl w:val="0"/>
          <w:numId w:val="5"/>
        </w:numPr>
        <w:ind w:hanging="360"/>
        <w:rPr>
          <w:rFonts w:ascii="Arial" w:hAnsi="Arial" w:cs="Arial"/>
        </w:rPr>
      </w:pPr>
      <w:r w:rsidRPr="00753087">
        <w:rPr>
          <w:rFonts w:ascii="Arial" w:hAnsi="Arial" w:cs="Arial"/>
        </w:rPr>
        <w:t>a commitment to being available and accessible to the student as specified</w:t>
      </w:r>
      <w:r w:rsidRPr="00753087">
        <w:rPr>
          <w:rFonts w:ascii="Arial" w:hAnsi="Arial" w:cs="Arial"/>
          <w:sz w:val="21"/>
        </w:rPr>
        <w:t xml:space="preserve"> </w:t>
      </w:r>
    </w:p>
    <w:p w14:paraId="6E95FCA2"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a commitment to student-centred learning </w:t>
      </w:r>
    </w:p>
    <w:p w14:paraId="0B09B337"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the ability to work with students from diverse cultural backgrounds </w:t>
      </w:r>
    </w:p>
    <w:p w14:paraId="0E2CE8E0"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an understanding of, and commitment to, equal opportunities policies and practices </w:t>
      </w:r>
    </w:p>
    <w:p w14:paraId="6BEE8D13"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the ability and willingness to promote the learning of adults, both individually and as a group, through correspondence, computer-mediated communications, telephone and face-to-face supervision </w:t>
      </w:r>
    </w:p>
    <w:p w14:paraId="39A6F87B"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prior experience of computer use (for example, word processing and email) and a commitment to supporting students through the PD programme website </w:t>
      </w:r>
    </w:p>
    <w:p w14:paraId="559753C9"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an organised and systematic approach to work </w:t>
      </w:r>
    </w:p>
    <w:p w14:paraId="29761C57"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the potential to work successfully both as part of a team and independently  </w:t>
      </w:r>
    </w:p>
    <w:p w14:paraId="3329F2AC"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good communication skills, both written and oral </w:t>
      </w:r>
    </w:p>
    <w:p w14:paraId="6B4F8BBF" w14:textId="77777777" w:rsidR="002B4F65" w:rsidRPr="00753087" w:rsidRDefault="00CB3C1F">
      <w:pPr>
        <w:numPr>
          <w:ilvl w:val="0"/>
          <w:numId w:val="5"/>
        </w:numPr>
        <w:spacing w:after="40" w:line="267" w:lineRule="auto"/>
        <w:ind w:hanging="360"/>
        <w:rPr>
          <w:rFonts w:ascii="Arial" w:hAnsi="Arial" w:cs="Arial"/>
        </w:rPr>
      </w:pPr>
      <w:r w:rsidRPr="00753087">
        <w:rPr>
          <w:rFonts w:ascii="Arial" w:hAnsi="Arial" w:cs="Arial"/>
          <w:sz w:val="21"/>
        </w:rPr>
        <w:t xml:space="preserve">a commitment to personal staff development </w:t>
      </w:r>
    </w:p>
    <w:p w14:paraId="65B1015D" w14:textId="77777777" w:rsidR="002B4F65" w:rsidRPr="00753087" w:rsidRDefault="00CB3C1F">
      <w:pPr>
        <w:numPr>
          <w:ilvl w:val="0"/>
          <w:numId w:val="5"/>
        </w:numPr>
        <w:spacing w:after="257" w:line="267" w:lineRule="auto"/>
        <w:ind w:hanging="360"/>
        <w:rPr>
          <w:rFonts w:ascii="Arial" w:hAnsi="Arial" w:cs="Arial"/>
        </w:rPr>
      </w:pPr>
      <w:r w:rsidRPr="00753087">
        <w:rPr>
          <w:rFonts w:ascii="Arial" w:hAnsi="Arial" w:cs="Arial"/>
          <w:sz w:val="21"/>
        </w:rPr>
        <w:t xml:space="preserve">some direct knowledge of the professional context in which PD students are likely to be working. </w:t>
      </w:r>
    </w:p>
    <w:p w14:paraId="528E4B0A" w14:textId="77777777" w:rsidR="002B4F65" w:rsidRPr="00753087" w:rsidRDefault="00CB3C1F">
      <w:pPr>
        <w:spacing w:after="584"/>
        <w:rPr>
          <w:rFonts w:ascii="Arial" w:hAnsi="Arial" w:cs="Arial"/>
        </w:rPr>
      </w:pPr>
      <w:r w:rsidRPr="00753087">
        <w:rPr>
          <w:rFonts w:ascii="Arial" w:hAnsi="Arial" w:cs="Arial"/>
        </w:rPr>
        <w:lastRenderedPageBreak/>
        <w:t xml:space="preserve">Supervisors must not be involved in a close personal relationship with a student they are appointed to supervise. If a relationship develops after the appointment has been made, alternative arrangements must be put in place for the student’s supervision. </w:t>
      </w:r>
    </w:p>
    <w:p w14:paraId="37E19AF2" w14:textId="7C5CB153" w:rsidR="002B4F65" w:rsidRDefault="00CB3C1F" w:rsidP="00753087">
      <w:pPr>
        <w:pStyle w:val="Heading2"/>
        <w:numPr>
          <w:ilvl w:val="0"/>
          <w:numId w:val="7"/>
        </w:numPr>
        <w:rPr>
          <w:rFonts w:ascii="Arial" w:hAnsi="Arial" w:cs="Arial"/>
          <w:b/>
          <w:bCs/>
          <w:color w:val="auto"/>
          <w:sz w:val="24"/>
          <w:szCs w:val="18"/>
        </w:rPr>
      </w:pPr>
      <w:r w:rsidRPr="00753087">
        <w:rPr>
          <w:rFonts w:ascii="Arial" w:hAnsi="Arial" w:cs="Arial"/>
          <w:b/>
          <w:bCs/>
          <w:color w:val="auto"/>
          <w:sz w:val="24"/>
          <w:szCs w:val="18"/>
        </w:rPr>
        <w:t xml:space="preserve">General information </w:t>
      </w:r>
    </w:p>
    <w:p w14:paraId="0B0BA8C1" w14:textId="77777777" w:rsidR="00112D1A" w:rsidRPr="00112D1A" w:rsidRDefault="00112D1A" w:rsidP="00112D1A"/>
    <w:p w14:paraId="6502075C" w14:textId="045DDE9F" w:rsidR="002B4F65" w:rsidRDefault="00CB3C1F" w:rsidP="00112D1A">
      <w:pPr>
        <w:pStyle w:val="Heading3"/>
        <w:numPr>
          <w:ilvl w:val="1"/>
          <w:numId w:val="7"/>
        </w:numPr>
        <w:rPr>
          <w:rFonts w:ascii="Arial" w:hAnsi="Arial" w:cs="Arial"/>
          <w:b/>
          <w:bCs/>
          <w:color w:val="auto"/>
          <w:sz w:val="24"/>
          <w:szCs w:val="20"/>
        </w:rPr>
      </w:pPr>
      <w:r w:rsidRPr="00112D1A">
        <w:rPr>
          <w:rFonts w:ascii="Arial" w:hAnsi="Arial" w:cs="Arial"/>
          <w:b/>
          <w:bCs/>
          <w:color w:val="auto"/>
          <w:sz w:val="24"/>
          <w:szCs w:val="20"/>
        </w:rPr>
        <w:t xml:space="preserve">Year 1 Assignments </w:t>
      </w:r>
    </w:p>
    <w:p w14:paraId="4519A864" w14:textId="77777777" w:rsidR="00112D1A" w:rsidRPr="00112D1A" w:rsidRDefault="00112D1A" w:rsidP="00112D1A">
      <w:pPr>
        <w:pStyle w:val="ListParagraph"/>
        <w:ind w:left="731" w:firstLine="0"/>
        <w:rPr>
          <w:sz w:val="10"/>
          <w:szCs w:val="10"/>
        </w:rPr>
      </w:pPr>
    </w:p>
    <w:p w14:paraId="19E13F46" w14:textId="2726153C" w:rsidR="002B4F65" w:rsidRDefault="00CB3C1F">
      <w:pPr>
        <w:rPr>
          <w:rFonts w:ascii="Arial" w:hAnsi="Arial" w:cs="Arial"/>
        </w:rPr>
      </w:pPr>
      <w:r w:rsidRPr="00753087">
        <w:rPr>
          <w:rFonts w:ascii="Arial" w:hAnsi="Arial" w:cs="Arial"/>
        </w:rPr>
        <w:t xml:space="preserve">During Year 1 of the programme, the main supervisor is required to comment on two formative assignments and a final summative assignment from their student. The formative assignments are around 4,000-5,000 words in length, and the summative assignment 10,000 words in length on which the student will be assessed. The main supervisor is required to act as a marker for this summative assignment from a student other than their own. Area Leads will act as second markers.  </w:t>
      </w:r>
    </w:p>
    <w:p w14:paraId="7B095544" w14:textId="77777777" w:rsidR="00112D1A" w:rsidRPr="00112D1A" w:rsidRDefault="00112D1A">
      <w:pPr>
        <w:rPr>
          <w:rFonts w:ascii="Arial" w:hAnsi="Arial" w:cs="Arial"/>
          <w:sz w:val="16"/>
          <w:szCs w:val="16"/>
        </w:rPr>
      </w:pPr>
    </w:p>
    <w:p w14:paraId="714514A7" w14:textId="563DC24B" w:rsidR="002B4F65" w:rsidRDefault="00CB3C1F" w:rsidP="00112D1A">
      <w:pPr>
        <w:pStyle w:val="Heading3"/>
        <w:numPr>
          <w:ilvl w:val="1"/>
          <w:numId w:val="7"/>
        </w:numPr>
        <w:rPr>
          <w:rFonts w:ascii="Arial" w:hAnsi="Arial" w:cs="Arial"/>
          <w:b/>
          <w:bCs/>
          <w:color w:val="auto"/>
          <w:sz w:val="24"/>
          <w:szCs w:val="20"/>
        </w:rPr>
      </w:pPr>
      <w:r w:rsidRPr="00112D1A">
        <w:rPr>
          <w:rFonts w:ascii="Arial" w:hAnsi="Arial" w:cs="Arial"/>
          <w:b/>
          <w:bCs/>
          <w:color w:val="auto"/>
          <w:sz w:val="24"/>
          <w:szCs w:val="20"/>
        </w:rPr>
        <w:t xml:space="preserve">Year 2 Assignments </w:t>
      </w:r>
    </w:p>
    <w:p w14:paraId="565A034F" w14:textId="77777777" w:rsidR="00112D1A" w:rsidRPr="00112D1A" w:rsidRDefault="00112D1A" w:rsidP="00112D1A">
      <w:pPr>
        <w:pStyle w:val="ListParagraph"/>
        <w:ind w:left="731" w:firstLine="0"/>
        <w:rPr>
          <w:sz w:val="10"/>
          <w:szCs w:val="10"/>
        </w:rPr>
      </w:pPr>
    </w:p>
    <w:p w14:paraId="02363BAA" w14:textId="77777777" w:rsidR="002B4F65" w:rsidRPr="00753087" w:rsidRDefault="00CB3C1F">
      <w:pPr>
        <w:spacing w:after="245"/>
        <w:rPr>
          <w:rFonts w:ascii="Arial" w:hAnsi="Arial" w:cs="Arial"/>
        </w:rPr>
      </w:pPr>
      <w:r w:rsidRPr="00753087">
        <w:rPr>
          <w:rFonts w:ascii="Arial" w:hAnsi="Arial" w:cs="Arial"/>
        </w:rPr>
        <w:t xml:space="preserve">During Year 2 of the programme, both the main and co-supervisor are required to comment on two formative assignments. Formative assignments are around 4,000-5,000 words in length. The main and co-supervisor will be required to comment on the summative assignment (research proposal) from a student other than their own.  </w:t>
      </w:r>
    </w:p>
    <w:p w14:paraId="759B98EF" w14:textId="36D7BC3D" w:rsidR="002B4F65" w:rsidRDefault="00CB3C1F" w:rsidP="00112D1A">
      <w:pPr>
        <w:pStyle w:val="Heading3"/>
        <w:numPr>
          <w:ilvl w:val="1"/>
          <w:numId w:val="7"/>
        </w:numPr>
        <w:rPr>
          <w:rFonts w:ascii="Arial" w:hAnsi="Arial" w:cs="Arial"/>
          <w:b/>
          <w:bCs/>
          <w:color w:val="auto"/>
          <w:sz w:val="24"/>
          <w:szCs w:val="20"/>
        </w:rPr>
      </w:pPr>
      <w:r w:rsidRPr="00112D1A">
        <w:rPr>
          <w:rFonts w:ascii="Arial" w:hAnsi="Arial" w:cs="Arial"/>
          <w:b/>
          <w:bCs/>
          <w:color w:val="auto"/>
          <w:sz w:val="24"/>
          <w:szCs w:val="20"/>
        </w:rPr>
        <w:t xml:space="preserve">Years 3 and 4 Assignments </w:t>
      </w:r>
    </w:p>
    <w:p w14:paraId="564BD92F" w14:textId="77777777" w:rsidR="00112D1A" w:rsidRPr="00112D1A" w:rsidRDefault="00112D1A" w:rsidP="00112D1A">
      <w:pPr>
        <w:pStyle w:val="ListParagraph"/>
        <w:ind w:left="731" w:firstLine="0"/>
        <w:rPr>
          <w:sz w:val="10"/>
          <w:szCs w:val="10"/>
        </w:rPr>
      </w:pPr>
    </w:p>
    <w:p w14:paraId="6D470129" w14:textId="77777777" w:rsidR="002B4F65" w:rsidRPr="00753087" w:rsidRDefault="00CB3C1F">
      <w:pPr>
        <w:spacing w:after="245"/>
        <w:rPr>
          <w:rFonts w:ascii="Arial" w:hAnsi="Arial" w:cs="Arial"/>
        </w:rPr>
      </w:pPr>
      <w:r w:rsidRPr="00753087">
        <w:rPr>
          <w:rFonts w:ascii="Arial" w:hAnsi="Arial" w:cs="Arial"/>
        </w:rPr>
        <w:t xml:space="preserve">In the third and further years of registration, supervisors will continue to comment on assignments. In Year 3 both supervisors will comment on three formative assignments, and in Year 4 three formative assignments, two of which comprise the draft thesis.  </w:t>
      </w:r>
    </w:p>
    <w:p w14:paraId="580467DF" w14:textId="5C2DF452" w:rsidR="002B4F65" w:rsidRDefault="00CB3C1F" w:rsidP="00112D1A">
      <w:pPr>
        <w:pStyle w:val="Heading3"/>
        <w:numPr>
          <w:ilvl w:val="1"/>
          <w:numId w:val="7"/>
        </w:numPr>
        <w:rPr>
          <w:rFonts w:ascii="Arial" w:hAnsi="Arial" w:cs="Arial"/>
          <w:b/>
          <w:bCs/>
          <w:color w:val="auto"/>
          <w:sz w:val="24"/>
          <w:szCs w:val="20"/>
        </w:rPr>
      </w:pPr>
      <w:r w:rsidRPr="00112D1A">
        <w:rPr>
          <w:rFonts w:ascii="Arial" w:hAnsi="Arial" w:cs="Arial"/>
          <w:b/>
          <w:bCs/>
          <w:color w:val="auto"/>
          <w:sz w:val="24"/>
          <w:szCs w:val="20"/>
        </w:rPr>
        <w:t xml:space="preserve">Residential weekends </w:t>
      </w:r>
    </w:p>
    <w:p w14:paraId="71E79437" w14:textId="77777777" w:rsidR="00112D1A" w:rsidRPr="00112D1A" w:rsidRDefault="00112D1A" w:rsidP="00112D1A">
      <w:pPr>
        <w:pStyle w:val="ListParagraph"/>
        <w:ind w:left="731" w:firstLine="0"/>
        <w:rPr>
          <w:sz w:val="10"/>
          <w:szCs w:val="10"/>
        </w:rPr>
      </w:pPr>
    </w:p>
    <w:p w14:paraId="3C11B818" w14:textId="77777777" w:rsidR="002B4F65" w:rsidRPr="00753087" w:rsidRDefault="00CB3C1F">
      <w:pPr>
        <w:spacing w:after="207"/>
        <w:rPr>
          <w:rFonts w:ascii="Arial" w:hAnsi="Arial" w:cs="Arial"/>
        </w:rPr>
      </w:pPr>
      <w:r w:rsidRPr="00753087">
        <w:rPr>
          <w:rFonts w:ascii="Arial" w:hAnsi="Arial" w:cs="Arial"/>
        </w:rPr>
        <w:t xml:space="preserve">Residential weekends will be normally held on the following dates: </w:t>
      </w:r>
    </w:p>
    <w:p w14:paraId="0ED041A5" w14:textId="77777777" w:rsidR="002B4F65" w:rsidRPr="00753087" w:rsidRDefault="00CB3C1F">
      <w:pPr>
        <w:numPr>
          <w:ilvl w:val="0"/>
          <w:numId w:val="6"/>
        </w:numPr>
        <w:ind w:hanging="360"/>
        <w:rPr>
          <w:rFonts w:ascii="Arial" w:hAnsi="Arial" w:cs="Arial"/>
        </w:rPr>
      </w:pPr>
      <w:r w:rsidRPr="00753087">
        <w:rPr>
          <w:rFonts w:ascii="Arial" w:hAnsi="Arial" w:cs="Arial"/>
        </w:rPr>
        <w:t>1</w:t>
      </w:r>
      <w:r w:rsidRPr="00753087">
        <w:rPr>
          <w:rFonts w:ascii="Arial" w:hAnsi="Arial" w:cs="Arial"/>
          <w:vertAlign w:val="superscript"/>
        </w:rPr>
        <w:t>st</w:t>
      </w:r>
      <w:r w:rsidRPr="00753087">
        <w:rPr>
          <w:rFonts w:ascii="Arial" w:hAnsi="Arial" w:cs="Arial"/>
        </w:rPr>
        <w:t xml:space="preserve"> weekend in October for Year 1 </w:t>
      </w:r>
    </w:p>
    <w:p w14:paraId="66731102" w14:textId="77777777" w:rsidR="002B4F65" w:rsidRPr="00753087" w:rsidRDefault="00CB3C1F">
      <w:pPr>
        <w:numPr>
          <w:ilvl w:val="0"/>
          <w:numId w:val="6"/>
        </w:numPr>
        <w:ind w:hanging="360"/>
        <w:rPr>
          <w:rFonts w:ascii="Arial" w:hAnsi="Arial" w:cs="Arial"/>
        </w:rPr>
      </w:pPr>
      <w:r w:rsidRPr="00753087">
        <w:rPr>
          <w:rFonts w:ascii="Arial" w:hAnsi="Arial" w:cs="Arial"/>
        </w:rPr>
        <w:t>1</w:t>
      </w:r>
      <w:r w:rsidRPr="00753087">
        <w:rPr>
          <w:rFonts w:ascii="Arial" w:hAnsi="Arial" w:cs="Arial"/>
          <w:vertAlign w:val="superscript"/>
        </w:rPr>
        <w:t>st</w:t>
      </w:r>
      <w:r w:rsidRPr="00753087">
        <w:rPr>
          <w:rFonts w:ascii="Arial" w:hAnsi="Arial" w:cs="Arial"/>
        </w:rPr>
        <w:t xml:space="preserve"> weekend in November for Year 2 </w:t>
      </w:r>
    </w:p>
    <w:p w14:paraId="67607129" w14:textId="77777777" w:rsidR="002B4F65" w:rsidRPr="00753087" w:rsidRDefault="00CB3C1F">
      <w:pPr>
        <w:numPr>
          <w:ilvl w:val="0"/>
          <w:numId w:val="6"/>
        </w:numPr>
        <w:ind w:hanging="360"/>
        <w:rPr>
          <w:rFonts w:ascii="Arial" w:hAnsi="Arial" w:cs="Arial"/>
        </w:rPr>
      </w:pPr>
      <w:r w:rsidRPr="00753087">
        <w:rPr>
          <w:rFonts w:ascii="Arial" w:hAnsi="Arial" w:cs="Arial"/>
        </w:rPr>
        <w:t>1</w:t>
      </w:r>
      <w:r w:rsidRPr="00753087">
        <w:rPr>
          <w:rFonts w:ascii="Arial" w:hAnsi="Arial" w:cs="Arial"/>
          <w:vertAlign w:val="superscript"/>
        </w:rPr>
        <w:t>st</w:t>
      </w:r>
      <w:r w:rsidRPr="00753087">
        <w:rPr>
          <w:rFonts w:ascii="Arial" w:hAnsi="Arial" w:cs="Arial"/>
        </w:rPr>
        <w:t xml:space="preserve"> weekend in February for Year 3 </w:t>
      </w:r>
    </w:p>
    <w:p w14:paraId="79E22043" w14:textId="77777777" w:rsidR="002B4F65" w:rsidRPr="00753087" w:rsidRDefault="00CB3C1F">
      <w:pPr>
        <w:numPr>
          <w:ilvl w:val="0"/>
          <w:numId w:val="6"/>
        </w:numPr>
        <w:spacing w:after="144"/>
        <w:ind w:hanging="360"/>
        <w:rPr>
          <w:rFonts w:ascii="Arial" w:hAnsi="Arial" w:cs="Arial"/>
        </w:rPr>
      </w:pPr>
      <w:proofErr w:type="spellStart"/>
      <w:r w:rsidRPr="00753087">
        <w:rPr>
          <w:rFonts w:ascii="Arial" w:hAnsi="Arial" w:cs="Arial"/>
        </w:rPr>
        <w:t>Mid March</w:t>
      </w:r>
      <w:proofErr w:type="spellEnd"/>
      <w:r w:rsidRPr="00753087">
        <w:rPr>
          <w:rFonts w:ascii="Arial" w:hAnsi="Arial" w:cs="Arial"/>
        </w:rPr>
        <w:t xml:space="preserve"> weekend for Year 4 </w:t>
      </w:r>
    </w:p>
    <w:p w14:paraId="72FC9988" w14:textId="77777777" w:rsidR="002B4F65" w:rsidRDefault="00CB3C1F">
      <w:pPr>
        <w:rPr>
          <w:rFonts w:ascii="Arial" w:hAnsi="Arial" w:cs="Arial"/>
        </w:rPr>
      </w:pPr>
      <w:r w:rsidRPr="00753087">
        <w:rPr>
          <w:rFonts w:ascii="Arial" w:hAnsi="Arial" w:cs="Arial"/>
        </w:rPr>
        <w:t xml:space="preserve">The residential weekends are compulsory for students and supervisors. Attendance at the Residential Weekends is a requirement of the Post. </w:t>
      </w:r>
    </w:p>
    <w:p w14:paraId="659F45F7" w14:textId="77777777" w:rsidR="00327549" w:rsidRDefault="00327549">
      <w:pPr>
        <w:rPr>
          <w:rFonts w:ascii="Arial" w:hAnsi="Arial" w:cs="Arial"/>
        </w:rPr>
      </w:pPr>
    </w:p>
    <w:p w14:paraId="5D217D85" w14:textId="48165231" w:rsidR="00327549" w:rsidRDefault="00327549" w:rsidP="00327549">
      <w:pPr>
        <w:pStyle w:val="Heading3"/>
        <w:numPr>
          <w:ilvl w:val="1"/>
          <w:numId w:val="7"/>
        </w:numPr>
        <w:rPr>
          <w:rFonts w:ascii="Arial" w:hAnsi="Arial" w:cs="Arial"/>
          <w:b/>
          <w:bCs/>
          <w:color w:val="auto"/>
          <w:sz w:val="24"/>
          <w:szCs w:val="20"/>
        </w:rPr>
      </w:pPr>
      <w:r>
        <w:rPr>
          <w:rFonts w:ascii="Arial" w:hAnsi="Arial" w:cs="Arial"/>
          <w:b/>
          <w:bCs/>
          <w:color w:val="auto"/>
          <w:sz w:val="24"/>
          <w:szCs w:val="20"/>
        </w:rPr>
        <w:t>Useful information</w:t>
      </w:r>
    </w:p>
    <w:p w14:paraId="425BF70D" w14:textId="77777777" w:rsidR="00327549" w:rsidRDefault="00327549">
      <w:pPr>
        <w:rPr>
          <w:rFonts w:ascii="Arial" w:hAnsi="Arial" w:cs="Arial"/>
        </w:rPr>
      </w:pPr>
    </w:p>
    <w:p w14:paraId="36165116" w14:textId="77777777" w:rsidR="00327549" w:rsidRDefault="00327549">
      <w:pPr>
        <w:rPr>
          <w:rFonts w:ascii="Arial" w:hAnsi="Arial" w:cs="Arial"/>
        </w:rPr>
      </w:pPr>
    </w:p>
    <w:p w14:paraId="1A9DDB0D" w14:textId="3A5629FF" w:rsidR="00327549" w:rsidRDefault="00327549" w:rsidP="00327549">
      <w:pPr>
        <w:ind w:left="0" w:firstLine="0"/>
        <w:rPr>
          <w:rFonts w:ascii="Arial" w:hAnsi="Arial" w:cs="Arial"/>
        </w:rPr>
      </w:pPr>
      <w:r>
        <w:rPr>
          <w:rFonts w:ascii="Arial" w:hAnsi="Arial" w:cs="Arial"/>
        </w:rPr>
        <w:t>Supervisors should become familiar with the following documents:</w:t>
      </w:r>
    </w:p>
    <w:p w14:paraId="12199972" w14:textId="77777777" w:rsidR="00327549" w:rsidRPr="00327549" w:rsidRDefault="00327549" w:rsidP="00327549">
      <w:pPr>
        <w:ind w:left="0" w:firstLine="0"/>
        <w:rPr>
          <w:rFonts w:ascii="Arial" w:hAnsi="Arial" w:cs="Arial"/>
        </w:rPr>
      </w:pPr>
    </w:p>
    <w:p w14:paraId="34E92F81"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 xml:space="preserve">Appendix 1: Degree Characteristics of the </w:t>
      </w:r>
      <w:hyperlink r:id="rId19" w:tgtFrame="_blank" w:history="1">
        <w:r w:rsidRPr="00327549">
          <w:rPr>
            <w:rStyle w:val="Hyperlink"/>
            <w:rFonts w:ascii="Arial" w:hAnsi="Arial" w:cs="Arial"/>
          </w:rPr>
          <w:t>Research Degree Regulations</w:t>
        </w:r>
      </w:hyperlink>
      <w:r w:rsidRPr="00327549">
        <w:rPr>
          <w:rFonts w:ascii="Arial" w:hAnsi="Arial" w:cs="Arial"/>
        </w:rPr>
        <w:t> </w:t>
      </w:r>
    </w:p>
    <w:p w14:paraId="70D04106"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 xml:space="preserve">Appendix 2: Code of practice for supervisors – Responsibilities of the supervisor of the </w:t>
      </w:r>
      <w:hyperlink r:id="rId20" w:tgtFrame="_blank" w:history="1">
        <w:r w:rsidRPr="00327549">
          <w:rPr>
            <w:rStyle w:val="Hyperlink"/>
            <w:rFonts w:ascii="Arial" w:hAnsi="Arial" w:cs="Arial"/>
          </w:rPr>
          <w:t>Research Degree Regulations</w:t>
        </w:r>
      </w:hyperlink>
      <w:r w:rsidRPr="00327549">
        <w:rPr>
          <w:rFonts w:ascii="Arial" w:hAnsi="Arial" w:cs="Arial"/>
        </w:rPr>
        <w:t> </w:t>
      </w:r>
    </w:p>
    <w:p w14:paraId="005B893B"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lastRenderedPageBreak/>
        <w:t xml:space="preserve">Appendix 3: Procedures for addressing failure to make satisfactory progress of the </w:t>
      </w:r>
      <w:hyperlink r:id="rId21" w:tgtFrame="_blank" w:history="1">
        <w:r w:rsidRPr="00327549">
          <w:rPr>
            <w:rStyle w:val="Hyperlink"/>
            <w:rFonts w:ascii="Arial" w:hAnsi="Arial" w:cs="Arial"/>
          </w:rPr>
          <w:t>Research Degree Regulations</w:t>
        </w:r>
      </w:hyperlink>
      <w:r w:rsidRPr="00327549">
        <w:rPr>
          <w:rFonts w:ascii="Arial" w:hAnsi="Arial" w:cs="Arial"/>
        </w:rPr>
        <w:t> </w:t>
      </w:r>
    </w:p>
    <w:p w14:paraId="3743322A"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 xml:space="preserve">OU support systems, including counselling, welfare, and contingency </w:t>
      </w:r>
      <w:proofErr w:type="gramStart"/>
      <w:r w:rsidRPr="00327549">
        <w:rPr>
          <w:rFonts w:ascii="Arial" w:hAnsi="Arial" w:cs="Arial"/>
        </w:rPr>
        <w:t>funding</w:t>
      </w:r>
      <w:proofErr w:type="gramEnd"/>
      <w:r w:rsidRPr="00327549">
        <w:rPr>
          <w:rFonts w:ascii="Arial" w:hAnsi="Arial" w:cs="Arial"/>
        </w:rPr>
        <w:t> </w:t>
      </w:r>
    </w:p>
    <w:p w14:paraId="5FC533CF"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health and safety requirements and training, as appropriate </w:t>
      </w:r>
    </w:p>
    <w:p w14:paraId="2B6172B4"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ethical standards, and ethics approval at the OU </w:t>
      </w:r>
    </w:p>
    <w:p w14:paraId="547A2973" w14:textId="77777777" w:rsidR="00327549" w:rsidRPr="00327549" w:rsidRDefault="00327549" w:rsidP="00327549">
      <w:pPr>
        <w:pStyle w:val="ListParagraph"/>
        <w:numPr>
          <w:ilvl w:val="0"/>
          <w:numId w:val="34"/>
        </w:numPr>
        <w:rPr>
          <w:rFonts w:ascii="Arial" w:hAnsi="Arial" w:cs="Arial"/>
        </w:rPr>
      </w:pPr>
      <w:r w:rsidRPr="00327549">
        <w:rPr>
          <w:rFonts w:ascii="Arial" w:hAnsi="Arial" w:cs="Arial"/>
        </w:rPr>
        <w:t xml:space="preserve">IP arrangements agreed for their </w:t>
      </w:r>
      <w:proofErr w:type="gramStart"/>
      <w:r w:rsidRPr="00327549">
        <w:rPr>
          <w:rFonts w:ascii="Arial" w:hAnsi="Arial" w:cs="Arial"/>
        </w:rPr>
        <w:t>student;</w:t>
      </w:r>
      <w:proofErr w:type="gramEnd"/>
      <w:r w:rsidRPr="00327549">
        <w:rPr>
          <w:rFonts w:ascii="Arial" w:hAnsi="Arial" w:cs="Arial"/>
        </w:rPr>
        <w:t> </w:t>
      </w:r>
    </w:p>
    <w:p w14:paraId="6D94F43F" w14:textId="77777777" w:rsidR="00327549" w:rsidRPr="00327549" w:rsidRDefault="00327549" w:rsidP="00327549">
      <w:pPr>
        <w:pStyle w:val="ListParagraph"/>
        <w:numPr>
          <w:ilvl w:val="0"/>
          <w:numId w:val="34"/>
        </w:numPr>
        <w:rPr>
          <w:rFonts w:ascii="Arial" w:hAnsi="Arial" w:cs="Arial"/>
        </w:rPr>
      </w:pPr>
      <w:hyperlink r:id="rId22" w:tgtFrame="_blank" w:history="1">
        <w:r w:rsidRPr="00327549">
          <w:rPr>
            <w:rStyle w:val="Hyperlink"/>
            <w:rFonts w:ascii="Arial" w:hAnsi="Arial" w:cs="Arial"/>
          </w:rPr>
          <w:t>Procedure for Dealing with Allegations of Research Malpractice or Misconduct</w:t>
        </w:r>
      </w:hyperlink>
      <w:r w:rsidRPr="00327549">
        <w:rPr>
          <w:rFonts w:ascii="Arial" w:hAnsi="Arial" w:cs="Arial"/>
        </w:rPr>
        <w:t>; </w:t>
      </w:r>
    </w:p>
    <w:p w14:paraId="066AFC11" w14:textId="77777777" w:rsidR="00327549" w:rsidRPr="00327549" w:rsidRDefault="00327549" w:rsidP="00327549">
      <w:pPr>
        <w:pStyle w:val="ListParagraph"/>
        <w:numPr>
          <w:ilvl w:val="0"/>
          <w:numId w:val="34"/>
        </w:numPr>
        <w:rPr>
          <w:rFonts w:ascii="Arial" w:hAnsi="Arial" w:cs="Arial"/>
        </w:rPr>
      </w:pPr>
      <w:hyperlink r:id="rId23" w:tgtFrame="_blank" w:history="1">
        <w:r w:rsidRPr="00327549">
          <w:rPr>
            <w:rStyle w:val="Hyperlink"/>
            <w:rFonts w:ascii="Arial" w:hAnsi="Arial" w:cs="Arial"/>
          </w:rPr>
          <w:t>Plagiarism and Research Misconduct Policy (for Postgraduate Research Students)</w:t>
        </w:r>
      </w:hyperlink>
      <w:r w:rsidRPr="00327549">
        <w:rPr>
          <w:rFonts w:ascii="Arial" w:hAnsi="Arial" w:cs="Arial"/>
        </w:rPr>
        <w:t> </w:t>
      </w:r>
    </w:p>
    <w:p w14:paraId="5154D04C" w14:textId="77777777" w:rsidR="00327549" w:rsidRPr="00327549" w:rsidRDefault="00327549" w:rsidP="00327549">
      <w:pPr>
        <w:pStyle w:val="ListParagraph"/>
        <w:numPr>
          <w:ilvl w:val="0"/>
          <w:numId w:val="34"/>
        </w:numPr>
        <w:rPr>
          <w:rFonts w:ascii="Arial" w:hAnsi="Arial" w:cs="Arial"/>
        </w:rPr>
      </w:pPr>
      <w:hyperlink r:id="rId24" w:tgtFrame="_blank" w:history="1">
        <w:r w:rsidRPr="00327549">
          <w:rPr>
            <w:rStyle w:val="Hyperlink"/>
            <w:rFonts w:ascii="Arial" w:hAnsi="Arial" w:cs="Arial"/>
          </w:rPr>
          <w:t>Student Complaints and Appeals Procedure</w:t>
        </w:r>
      </w:hyperlink>
      <w:r w:rsidRPr="00327549">
        <w:rPr>
          <w:rFonts w:ascii="Arial" w:hAnsi="Arial" w:cs="Arial"/>
        </w:rPr>
        <w:t>; </w:t>
      </w:r>
    </w:p>
    <w:p w14:paraId="3DC7CF52" w14:textId="77777777" w:rsidR="00327549" w:rsidRPr="00327549" w:rsidRDefault="00327549" w:rsidP="00327549">
      <w:pPr>
        <w:pStyle w:val="ListParagraph"/>
        <w:numPr>
          <w:ilvl w:val="0"/>
          <w:numId w:val="34"/>
        </w:numPr>
        <w:rPr>
          <w:rFonts w:ascii="Arial" w:hAnsi="Arial" w:cs="Arial"/>
        </w:rPr>
      </w:pPr>
      <w:hyperlink r:id="rId25" w:tgtFrame="_blank" w:history="1">
        <w:r w:rsidRPr="00327549">
          <w:rPr>
            <w:rStyle w:val="Hyperlink"/>
            <w:rFonts w:ascii="Arial" w:hAnsi="Arial" w:cs="Arial"/>
          </w:rPr>
          <w:t>Research Data Management</w:t>
        </w:r>
      </w:hyperlink>
      <w:r w:rsidRPr="00327549">
        <w:rPr>
          <w:rFonts w:ascii="Arial" w:hAnsi="Arial" w:cs="Arial"/>
        </w:rPr>
        <w:t>; </w:t>
      </w:r>
    </w:p>
    <w:p w14:paraId="35696338" w14:textId="77777777" w:rsidR="00327549" w:rsidRPr="00327549" w:rsidRDefault="00327549" w:rsidP="00327549">
      <w:pPr>
        <w:pStyle w:val="ListParagraph"/>
        <w:numPr>
          <w:ilvl w:val="0"/>
          <w:numId w:val="34"/>
        </w:numPr>
        <w:rPr>
          <w:rFonts w:ascii="Arial" w:hAnsi="Arial" w:cs="Arial"/>
        </w:rPr>
      </w:pPr>
      <w:hyperlink r:id="rId26" w:tgtFrame="_blank" w:history="1">
        <w:r w:rsidRPr="00327549">
          <w:rPr>
            <w:rStyle w:val="Hyperlink"/>
            <w:rFonts w:ascii="Arial" w:hAnsi="Arial" w:cs="Arial"/>
          </w:rPr>
          <w:t>Thesis submission guidelines</w:t>
        </w:r>
      </w:hyperlink>
      <w:r w:rsidRPr="00327549">
        <w:rPr>
          <w:rFonts w:ascii="Arial" w:hAnsi="Arial" w:cs="Arial"/>
        </w:rPr>
        <w:t>; </w:t>
      </w:r>
    </w:p>
    <w:p w14:paraId="27101A6F" w14:textId="77777777" w:rsidR="00327549" w:rsidRPr="00327549" w:rsidRDefault="00327549" w:rsidP="00327549">
      <w:pPr>
        <w:pStyle w:val="ListParagraph"/>
        <w:numPr>
          <w:ilvl w:val="0"/>
          <w:numId w:val="34"/>
        </w:numPr>
        <w:rPr>
          <w:rFonts w:ascii="Arial" w:hAnsi="Arial" w:cs="Arial"/>
        </w:rPr>
      </w:pPr>
      <w:hyperlink r:id="rId27" w:tgtFrame="_blank" w:history="1">
        <w:r w:rsidRPr="00327549">
          <w:rPr>
            <w:rStyle w:val="Hyperlink"/>
            <w:rFonts w:ascii="Arial" w:hAnsi="Arial" w:cs="Arial"/>
          </w:rPr>
          <w:t>Examination guidelines</w:t>
        </w:r>
      </w:hyperlink>
      <w:r w:rsidRPr="00327549">
        <w:rPr>
          <w:rFonts w:ascii="Arial" w:hAnsi="Arial" w:cs="Arial"/>
        </w:rPr>
        <w:t> </w:t>
      </w:r>
    </w:p>
    <w:p w14:paraId="2FD2EBEB" w14:textId="77777777" w:rsidR="00327549" w:rsidRPr="00327549" w:rsidRDefault="00327549" w:rsidP="00327549">
      <w:pPr>
        <w:pStyle w:val="ListParagraph"/>
        <w:numPr>
          <w:ilvl w:val="0"/>
          <w:numId w:val="34"/>
        </w:numPr>
        <w:rPr>
          <w:rFonts w:ascii="Arial" w:hAnsi="Arial" w:cs="Arial"/>
        </w:rPr>
      </w:pPr>
      <w:hyperlink r:id="rId28" w:tgtFrame="_blank" w:history="1">
        <w:r w:rsidRPr="00327549">
          <w:rPr>
            <w:rStyle w:val="Hyperlink"/>
            <w:rFonts w:ascii="Arial" w:hAnsi="Arial" w:cs="Arial"/>
          </w:rPr>
          <w:t>Prevent (</w:t>
        </w:r>
        <w:proofErr w:type="gramStart"/>
        <w:r w:rsidRPr="00327549">
          <w:rPr>
            <w:rStyle w:val="Hyperlink"/>
            <w:rFonts w:ascii="Arial" w:hAnsi="Arial" w:cs="Arial"/>
          </w:rPr>
          <w:t>Counter-Terrorism</w:t>
        </w:r>
        <w:proofErr w:type="gramEnd"/>
        <w:r w:rsidRPr="00327549">
          <w:rPr>
            <w:rStyle w:val="Hyperlink"/>
            <w:rFonts w:ascii="Arial" w:hAnsi="Arial" w:cs="Arial"/>
          </w:rPr>
          <w:t>) Duty</w:t>
        </w:r>
      </w:hyperlink>
      <w:r w:rsidRPr="00327549">
        <w:rPr>
          <w:rFonts w:ascii="Arial" w:hAnsi="Arial" w:cs="Arial"/>
        </w:rPr>
        <w:t> </w:t>
      </w:r>
    </w:p>
    <w:p w14:paraId="49B156CF" w14:textId="77777777" w:rsidR="00327549" w:rsidRPr="00327549" w:rsidRDefault="00327549" w:rsidP="00327549">
      <w:pPr>
        <w:ind w:left="0" w:firstLine="0"/>
        <w:rPr>
          <w:rFonts w:ascii="Arial" w:hAnsi="Arial" w:cs="Arial"/>
        </w:rPr>
      </w:pPr>
      <w:r w:rsidRPr="00327549">
        <w:rPr>
          <w:rFonts w:ascii="Arial" w:hAnsi="Arial" w:cs="Arial"/>
        </w:rPr>
        <w:t> </w:t>
      </w:r>
    </w:p>
    <w:p w14:paraId="335C2522" w14:textId="4478E413" w:rsidR="00327549" w:rsidRPr="00327549" w:rsidRDefault="00327549" w:rsidP="00327549">
      <w:pPr>
        <w:ind w:left="0" w:firstLine="0"/>
        <w:rPr>
          <w:rFonts w:ascii="Arial" w:hAnsi="Arial" w:cs="Arial"/>
        </w:rPr>
      </w:pPr>
      <w:r w:rsidRPr="00327549">
        <w:rPr>
          <w:rFonts w:ascii="Arial" w:hAnsi="Arial" w:cs="Arial"/>
        </w:rPr>
        <w:t> </w:t>
      </w:r>
    </w:p>
    <w:p w14:paraId="1B463C67" w14:textId="77777777" w:rsidR="00327549" w:rsidRDefault="00327549" w:rsidP="00327549">
      <w:pPr>
        <w:ind w:left="0" w:firstLine="0"/>
        <w:rPr>
          <w:rFonts w:ascii="Arial" w:hAnsi="Arial" w:cs="Arial"/>
        </w:rPr>
      </w:pPr>
      <w:r w:rsidRPr="00327549">
        <w:rPr>
          <w:rFonts w:ascii="Arial" w:hAnsi="Arial" w:cs="Arial"/>
        </w:rPr>
        <w:t xml:space="preserve">All support documents and relevant links are included in the </w:t>
      </w:r>
      <w:hyperlink r:id="rId29" w:tgtFrame="_blank" w:history="1">
        <w:r w:rsidRPr="00327549">
          <w:rPr>
            <w:rStyle w:val="Hyperlink"/>
            <w:rFonts w:ascii="Arial" w:hAnsi="Arial" w:cs="Arial"/>
          </w:rPr>
          <w:t>Forms and Guidance page</w:t>
        </w:r>
      </w:hyperlink>
      <w:r w:rsidRPr="00327549">
        <w:rPr>
          <w:rFonts w:ascii="Arial" w:hAnsi="Arial" w:cs="Arial"/>
        </w:rPr>
        <w:t xml:space="preserve"> on the GSN. Some additional useful links are as follows</w:t>
      </w:r>
      <w:r>
        <w:rPr>
          <w:rFonts w:ascii="Arial" w:hAnsi="Arial" w:cs="Arial"/>
        </w:rPr>
        <w:t>:</w:t>
      </w:r>
    </w:p>
    <w:p w14:paraId="71094C56" w14:textId="662E5A2C" w:rsidR="00327549" w:rsidRPr="00327549" w:rsidRDefault="00327549" w:rsidP="00327549">
      <w:pPr>
        <w:ind w:left="0" w:firstLine="0"/>
        <w:rPr>
          <w:rFonts w:ascii="Arial" w:hAnsi="Arial" w:cs="Arial"/>
        </w:rPr>
      </w:pPr>
      <w:r w:rsidRPr="00327549">
        <w:rPr>
          <w:rFonts w:ascii="Arial" w:hAnsi="Arial" w:cs="Arial"/>
        </w:rPr>
        <w:tab/>
        <w:t> </w:t>
      </w:r>
    </w:p>
    <w:p w14:paraId="191972C6" w14:textId="77777777" w:rsidR="00327549" w:rsidRPr="00327549" w:rsidRDefault="00327549" w:rsidP="00327549">
      <w:pPr>
        <w:pStyle w:val="ListParagraph"/>
        <w:numPr>
          <w:ilvl w:val="0"/>
          <w:numId w:val="35"/>
        </w:numPr>
        <w:rPr>
          <w:rFonts w:ascii="Arial" w:hAnsi="Arial" w:cs="Arial"/>
        </w:rPr>
      </w:pPr>
      <w:hyperlink r:id="rId30" w:tgtFrame="_blank" w:history="1">
        <w:r w:rsidRPr="00327549">
          <w:rPr>
            <w:rStyle w:val="Hyperlink"/>
            <w:rFonts w:ascii="Arial" w:hAnsi="Arial" w:cs="Arial"/>
          </w:rPr>
          <w:t>PGR Manager advice and other general advice for students and supervisors</w:t>
        </w:r>
      </w:hyperlink>
      <w:r w:rsidRPr="00327549">
        <w:rPr>
          <w:rFonts w:ascii="Arial" w:hAnsi="Arial" w:cs="Arial"/>
        </w:rPr>
        <w:t> </w:t>
      </w:r>
    </w:p>
    <w:p w14:paraId="0054C597" w14:textId="2B20665E" w:rsidR="00327549" w:rsidRPr="00327549" w:rsidRDefault="00327549" w:rsidP="00327549">
      <w:pPr>
        <w:ind w:left="0" w:firstLine="60"/>
        <w:rPr>
          <w:rFonts w:ascii="Arial" w:hAnsi="Arial" w:cs="Arial"/>
        </w:rPr>
      </w:pPr>
    </w:p>
    <w:p w14:paraId="4F2CD30C" w14:textId="77777777" w:rsidR="00327549" w:rsidRPr="00327549" w:rsidRDefault="00327549" w:rsidP="00327549">
      <w:pPr>
        <w:pStyle w:val="ListParagraph"/>
        <w:numPr>
          <w:ilvl w:val="0"/>
          <w:numId w:val="35"/>
        </w:numPr>
        <w:rPr>
          <w:rFonts w:ascii="Arial" w:hAnsi="Arial" w:cs="Arial"/>
        </w:rPr>
      </w:pPr>
      <w:hyperlink r:id="rId31" w:tgtFrame="_blank" w:history="1">
        <w:r w:rsidRPr="00327549">
          <w:rPr>
            <w:rStyle w:val="Hyperlink"/>
            <w:rFonts w:ascii="Arial" w:hAnsi="Arial" w:cs="Arial"/>
          </w:rPr>
          <w:t>Links to supervisor training and other supervisor resources</w:t>
        </w:r>
      </w:hyperlink>
      <w:r w:rsidRPr="00327549">
        <w:rPr>
          <w:rFonts w:ascii="Arial" w:hAnsi="Arial" w:cs="Arial"/>
        </w:rPr>
        <w:t> </w:t>
      </w:r>
    </w:p>
    <w:p w14:paraId="05A95F1D" w14:textId="77777777" w:rsidR="00327549" w:rsidRPr="00327549" w:rsidRDefault="00327549" w:rsidP="00327549">
      <w:pPr>
        <w:ind w:left="0" w:firstLine="0"/>
        <w:rPr>
          <w:rFonts w:ascii="Arial" w:hAnsi="Arial" w:cs="Arial"/>
        </w:rPr>
      </w:pPr>
      <w:r w:rsidRPr="00327549">
        <w:rPr>
          <w:rFonts w:ascii="Arial" w:hAnsi="Arial" w:cs="Arial"/>
        </w:rPr>
        <w:t> </w:t>
      </w:r>
    </w:p>
    <w:p w14:paraId="4DB27EAD" w14:textId="77777777" w:rsidR="00327549" w:rsidRPr="00327549" w:rsidRDefault="00327549" w:rsidP="00327549">
      <w:pPr>
        <w:ind w:left="0" w:firstLine="0"/>
        <w:rPr>
          <w:rFonts w:ascii="Arial" w:hAnsi="Arial" w:cs="Arial"/>
        </w:rPr>
      </w:pPr>
      <w:r w:rsidRPr="00327549">
        <w:rPr>
          <w:rFonts w:ascii="Arial" w:hAnsi="Arial" w:cs="Arial"/>
        </w:rPr>
        <w:t xml:space="preserve">The Research Degrees Team are based in the library building on the ground floor. You can contact them at </w:t>
      </w:r>
      <w:hyperlink r:id="rId32" w:tgtFrame="_blank" w:history="1">
        <w:r w:rsidRPr="00327549">
          <w:rPr>
            <w:rStyle w:val="Hyperlink"/>
            <w:rFonts w:ascii="Arial" w:hAnsi="Arial" w:cs="Arial"/>
          </w:rPr>
          <w:t>research-degrees-office@open.ac.uk</w:t>
        </w:r>
      </w:hyperlink>
      <w:r w:rsidRPr="00327549">
        <w:rPr>
          <w:rFonts w:ascii="Arial" w:hAnsi="Arial" w:cs="Arial"/>
        </w:rPr>
        <w:t xml:space="preserve"> or call them on 01908 653806 for advice and support on any of the topics above.  </w:t>
      </w:r>
    </w:p>
    <w:p w14:paraId="324B900C" w14:textId="77777777" w:rsidR="00327549" w:rsidRPr="00327549" w:rsidRDefault="00327549" w:rsidP="00327549">
      <w:pPr>
        <w:ind w:left="0" w:firstLine="0"/>
        <w:rPr>
          <w:rFonts w:ascii="Arial" w:hAnsi="Arial" w:cs="Arial"/>
        </w:rPr>
      </w:pPr>
    </w:p>
    <w:sectPr w:rsidR="00327549" w:rsidRPr="00327549">
      <w:footerReference w:type="default" r:id="rId33"/>
      <w:pgSz w:w="11906" w:h="16838"/>
      <w:pgMar w:top="1447" w:right="1443"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7837" w14:textId="77777777" w:rsidR="00681659" w:rsidRDefault="00681659" w:rsidP="00753087">
      <w:pPr>
        <w:spacing w:after="0" w:line="240" w:lineRule="auto"/>
      </w:pPr>
      <w:r>
        <w:separator/>
      </w:r>
    </w:p>
  </w:endnote>
  <w:endnote w:type="continuationSeparator" w:id="0">
    <w:p w14:paraId="0EE94286" w14:textId="77777777" w:rsidR="00681659" w:rsidRDefault="00681659" w:rsidP="0075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DB84" w14:textId="7846CF39" w:rsidR="00753087" w:rsidRDefault="00753087" w:rsidP="00753087">
    <w:pPr>
      <w:pStyle w:val="Footer"/>
      <w:jc w:val="right"/>
    </w:pPr>
    <w:r>
      <w:t>V1.</w:t>
    </w:r>
    <w:r w:rsidR="000B3846">
      <w:t>2</w:t>
    </w:r>
    <w:r>
      <w:t xml:space="preserve"> Last Updated July 202</w:t>
    </w:r>
    <w:r w:rsidR="000B384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A1C9" w14:textId="77777777" w:rsidR="00681659" w:rsidRDefault="00681659" w:rsidP="00753087">
      <w:pPr>
        <w:spacing w:after="0" w:line="240" w:lineRule="auto"/>
      </w:pPr>
      <w:r>
        <w:separator/>
      </w:r>
    </w:p>
  </w:footnote>
  <w:footnote w:type="continuationSeparator" w:id="0">
    <w:p w14:paraId="321953DA" w14:textId="77777777" w:rsidR="00681659" w:rsidRDefault="00681659" w:rsidP="0075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8F7"/>
    <w:multiLevelType w:val="multilevel"/>
    <w:tmpl w:val="4BC2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B7C5D"/>
    <w:multiLevelType w:val="hybridMultilevel"/>
    <w:tmpl w:val="BA283090"/>
    <w:lvl w:ilvl="0" w:tplc="6AEE88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CC82C">
      <w:start w:val="1"/>
      <w:numFmt w:val="bullet"/>
      <w:lvlText w:val="o"/>
      <w:lvlJc w:val="left"/>
      <w:pPr>
        <w:ind w:left="1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2009BB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D68EC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992865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82AB0C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C00561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8A0131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FF4FDA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D87A83"/>
    <w:multiLevelType w:val="hybridMultilevel"/>
    <w:tmpl w:val="9E584252"/>
    <w:lvl w:ilvl="0" w:tplc="BDCA6B16">
      <w:start w:val="1"/>
      <w:numFmt w:val="lowerLetter"/>
      <w:lvlText w:val="(%1)"/>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504F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3806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EC1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C0A6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EF9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AE66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E6C4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A98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0701EA"/>
    <w:multiLevelType w:val="multilevel"/>
    <w:tmpl w:val="3BE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E2312"/>
    <w:multiLevelType w:val="multilevel"/>
    <w:tmpl w:val="B84CB8A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9556C4"/>
    <w:multiLevelType w:val="multilevel"/>
    <w:tmpl w:val="B84CB8A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0F23E3"/>
    <w:multiLevelType w:val="multilevel"/>
    <w:tmpl w:val="FB7E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30AA8"/>
    <w:multiLevelType w:val="hybridMultilevel"/>
    <w:tmpl w:val="FC7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D294D"/>
    <w:multiLevelType w:val="multilevel"/>
    <w:tmpl w:val="32D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F31E3"/>
    <w:multiLevelType w:val="multilevel"/>
    <w:tmpl w:val="B84CB8A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1ED"/>
    <w:multiLevelType w:val="multilevel"/>
    <w:tmpl w:val="104A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C3BA8"/>
    <w:multiLevelType w:val="hybridMultilevel"/>
    <w:tmpl w:val="D63A1364"/>
    <w:lvl w:ilvl="0" w:tplc="231433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65C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4CB8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E80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6C04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C0C9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70B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863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8200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08297E"/>
    <w:multiLevelType w:val="multilevel"/>
    <w:tmpl w:val="EF5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56B39"/>
    <w:multiLevelType w:val="multilevel"/>
    <w:tmpl w:val="79DC48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A30B69"/>
    <w:multiLevelType w:val="multilevel"/>
    <w:tmpl w:val="E800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A67A4"/>
    <w:multiLevelType w:val="multilevel"/>
    <w:tmpl w:val="BBC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0E246B"/>
    <w:multiLevelType w:val="multilevel"/>
    <w:tmpl w:val="997C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A87878"/>
    <w:multiLevelType w:val="multilevel"/>
    <w:tmpl w:val="F912E42E"/>
    <w:lvl w:ilvl="0">
      <w:start w:val="1"/>
      <w:numFmt w:val="decimal"/>
      <w:lvlText w:val="%1."/>
      <w:lvlJc w:val="left"/>
      <w:pPr>
        <w:ind w:left="371" w:hanging="360"/>
      </w:p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18" w15:restartNumberingAfterBreak="0">
    <w:nsid w:val="2FA03677"/>
    <w:multiLevelType w:val="multilevel"/>
    <w:tmpl w:val="6E5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6B6564"/>
    <w:multiLevelType w:val="multilevel"/>
    <w:tmpl w:val="1EB67F7C"/>
    <w:lvl w:ilvl="0">
      <w:start w:val="3"/>
      <w:numFmt w:val="decimal"/>
      <w:lvlText w:val="%1."/>
      <w:lvlJc w:val="left"/>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20" w15:restartNumberingAfterBreak="0">
    <w:nsid w:val="3D6F0B27"/>
    <w:multiLevelType w:val="hybridMultilevel"/>
    <w:tmpl w:val="20B87CF4"/>
    <w:lvl w:ilvl="0" w:tplc="333C148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DCB6C4">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C8BA16">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400FE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0B80C">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E7D2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76892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AE17A">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4C587C">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662DBA"/>
    <w:multiLevelType w:val="multilevel"/>
    <w:tmpl w:val="F800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46275C"/>
    <w:multiLevelType w:val="multilevel"/>
    <w:tmpl w:val="6AE06B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410172"/>
    <w:multiLevelType w:val="multilevel"/>
    <w:tmpl w:val="29D2B2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A496F0F"/>
    <w:multiLevelType w:val="hybridMultilevel"/>
    <w:tmpl w:val="C89A3FBA"/>
    <w:lvl w:ilvl="0" w:tplc="4598262E">
      <w:start w:val="1"/>
      <w:numFmt w:val="lowerLetter"/>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31A139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E329F76">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9C60B8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29EDF46">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14621C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8889E18">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386B4A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7BCCA2A">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B97FE3"/>
    <w:multiLevelType w:val="hybridMultilevel"/>
    <w:tmpl w:val="0F605366"/>
    <w:lvl w:ilvl="0" w:tplc="EF7E7DB2">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C80E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C8DB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5236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469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67C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AE18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4ECC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32FB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E7099F"/>
    <w:multiLevelType w:val="multilevel"/>
    <w:tmpl w:val="9CEA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05EDB"/>
    <w:multiLevelType w:val="multilevel"/>
    <w:tmpl w:val="6C7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75130"/>
    <w:multiLevelType w:val="multilevel"/>
    <w:tmpl w:val="AEC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6D4A0B"/>
    <w:multiLevelType w:val="multilevel"/>
    <w:tmpl w:val="A60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500C93"/>
    <w:multiLevelType w:val="hybridMultilevel"/>
    <w:tmpl w:val="2460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03A7D"/>
    <w:multiLevelType w:val="multilevel"/>
    <w:tmpl w:val="067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8038A8"/>
    <w:multiLevelType w:val="multilevel"/>
    <w:tmpl w:val="874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87C9A"/>
    <w:multiLevelType w:val="multilevel"/>
    <w:tmpl w:val="F912E42E"/>
    <w:lvl w:ilvl="0">
      <w:start w:val="1"/>
      <w:numFmt w:val="decimal"/>
      <w:lvlText w:val="%1."/>
      <w:lvlJc w:val="left"/>
      <w:pPr>
        <w:ind w:left="371" w:hanging="360"/>
      </w:p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abstractNum w:abstractNumId="34" w15:restartNumberingAfterBreak="0">
    <w:nsid w:val="7FD43862"/>
    <w:multiLevelType w:val="multilevel"/>
    <w:tmpl w:val="9068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2400214">
    <w:abstractNumId w:val="20"/>
  </w:num>
  <w:num w:numId="2" w16cid:durableId="1351906068">
    <w:abstractNumId w:val="2"/>
  </w:num>
  <w:num w:numId="3" w16cid:durableId="449201927">
    <w:abstractNumId w:val="1"/>
  </w:num>
  <w:num w:numId="4" w16cid:durableId="784153659">
    <w:abstractNumId w:val="25"/>
  </w:num>
  <w:num w:numId="5" w16cid:durableId="1931621920">
    <w:abstractNumId w:val="24"/>
  </w:num>
  <w:num w:numId="6" w16cid:durableId="47189116">
    <w:abstractNumId w:val="11"/>
  </w:num>
  <w:num w:numId="7" w16cid:durableId="247035603">
    <w:abstractNumId w:val="17"/>
  </w:num>
  <w:num w:numId="8" w16cid:durableId="1842547112">
    <w:abstractNumId w:val="4"/>
  </w:num>
  <w:num w:numId="9" w16cid:durableId="28917478">
    <w:abstractNumId w:val="9"/>
  </w:num>
  <w:num w:numId="10" w16cid:durableId="1170679783">
    <w:abstractNumId w:val="5"/>
  </w:num>
  <w:num w:numId="11" w16cid:durableId="322588722">
    <w:abstractNumId w:val="19"/>
  </w:num>
  <w:num w:numId="12" w16cid:durableId="372466847">
    <w:abstractNumId w:val="13"/>
  </w:num>
  <w:num w:numId="13" w16cid:durableId="1680421432">
    <w:abstractNumId w:val="32"/>
  </w:num>
  <w:num w:numId="14" w16cid:durableId="1372609808">
    <w:abstractNumId w:val="26"/>
  </w:num>
  <w:num w:numId="15" w16cid:durableId="2043241869">
    <w:abstractNumId w:val="6"/>
  </w:num>
  <w:num w:numId="16" w16cid:durableId="828793998">
    <w:abstractNumId w:val="3"/>
  </w:num>
  <w:num w:numId="17" w16cid:durableId="2004039605">
    <w:abstractNumId w:val="28"/>
  </w:num>
  <w:num w:numId="18" w16cid:durableId="1349454171">
    <w:abstractNumId w:val="15"/>
  </w:num>
  <w:num w:numId="19" w16cid:durableId="569661034">
    <w:abstractNumId w:val="34"/>
  </w:num>
  <w:num w:numId="20" w16cid:durableId="1544125732">
    <w:abstractNumId w:val="16"/>
  </w:num>
  <w:num w:numId="21" w16cid:durableId="833227589">
    <w:abstractNumId w:val="21"/>
  </w:num>
  <w:num w:numId="22" w16cid:durableId="387848438">
    <w:abstractNumId w:val="27"/>
  </w:num>
  <w:num w:numId="23" w16cid:durableId="1381906917">
    <w:abstractNumId w:val="29"/>
  </w:num>
  <w:num w:numId="24" w16cid:durableId="1388994680">
    <w:abstractNumId w:val="10"/>
  </w:num>
  <w:num w:numId="25" w16cid:durableId="828986656">
    <w:abstractNumId w:val="0"/>
  </w:num>
  <w:num w:numId="26" w16cid:durableId="1950817758">
    <w:abstractNumId w:val="8"/>
  </w:num>
  <w:num w:numId="27" w16cid:durableId="199709787">
    <w:abstractNumId w:val="18"/>
  </w:num>
  <w:num w:numId="28" w16cid:durableId="1537620860">
    <w:abstractNumId w:val="31"/>
  </w:num>
  <w:num w:numId="29" w16cid:durableId="904684713">
    <w:abstractNumId w:val="12"/>
  </w:num>
  <w:num w:numId="30" w16cid:durableId="1882590960">
    <w:abstractNumId w:val="14"/>
  </w:num>
  <w:num w:numId="31" w16cid:durableId="1389375971">
    <w:abstractNumId w:val="23"/>
  </w:num>
  <w:num w:numId="32" w16cid:durableId="2137750286">
    <w:abstractNumId w:val="22"/>
  </w:num>
  <w:num w:numId="33" w16cid:durableId="87965604">
    <w:abstractNumId w:val="33"/>
  </w:num>
  <w:num w:numId="34" w16cid:durableId="495656911">
    <w:abstractNumId w:val="30"/>
  </w:num>
  <w:num w:numId="35" w16cid:durableId="508907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65"/>
    <w:rsid w:val="000B3846"/>
    <w:rsid w:val="00112D1A"/>
    <w:rsid w:val="001E1A57"/>
    <w:rsid w:val="002A0A3E"/>
    <w:rsid w:val="002B4F65"/>
    <w:rsid w:val="002E537D"/>
    <w:rsid w:val="00327549"/>
    <w:rsid w:val="004519B1"/>
    <w:rsid w:val="00681659"/>
    <w:rsid w:val="00753087"/>
    <w:rsid w:val="00770709"/>
    <w:rsid w:val="00AB2929"/>
    <w:rsid w:val="00CB3C1F"/>
    <w:rsid w:val="00C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E821"/>
  <w15:docId w15:val="{5F0C7F87-6DCB-4392-961C-6C596FE5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jc w:val="right"/>
      <w:outlineLvl w:val="0"/>
    </w:pPr>
    <w:rPr>
      <w:rFonts w:ascii="Arial" w:eastAsia="Arial" w:hAnsi="Arial" w:cs="Arial"/>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D4F8E"/>
      <w:sz w:val="32"/>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4472C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4472C4"/>
      <w:sz w:val="26"/>
    </w:rPr>
  </w:style>
  <w:style w:type="character" w:customStyle="1" w:styleId="Heading2Char">
    <w:name w:val="Heading 2 Char"/>
    <w:link w:val="Heading2"/>
    <w:rPr>
      <w:rFonts w:ascii="Calibri" w:eastAsia="Calibri" w:hAnsi="Calibri" w:cs="Calibri"/>
      <w:color w:val="2D4F8E"/>
      <w:sz w:val="32"/>
    </w:rPr>
  </w:style>
  <w:style w:type="character" w:customStyle="1" w:styleId="Heading1Char">
    <w:name w:val="Heading 1 Char"/>
    <w:link w:val="Heading1"/>
    <w:rPr>
      <w:rFonts w:ascii="Arial" w:eastAsia="Arial" w:hAnsi="Arial" w:cs="Arial"/>
      <w:color w:val="000000"/>
      <w:sz w:val="44"/>
    </w:rPr>
  </w:style>
  <w:style w:type="paragraph" w:styleId="Header">
    <w:name w:val="header"/>
    <w:basedOn w:val="Normal"/>
    <w:link w:val="HeaderChar"/>
    <w:uiPriority w:val="99"/>
    <w:unhideWhenUsed/>
    <w:rsid w:val="0075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087"/>
    <w:rPr>
      <w:rFonts w:ascii="Calibri" w:eastAsia="Calibri" w:hAnsi="Calibri" w:cs="Calibri"/>
      <w:color w:val="000000"/>
    </w:rPr>
  </w:style>
  <w:style w:type="paragraph" w:styleId="Footer">
    <w:name w:val="footer"/>
    <w:basedOn w:val="Normal"/>
    <w:link w:val="FooterChar"/>
    <w:uiPriority w:val="99"/>
    <w:unhideWhenUsed/>
    <w:rsid w:val="0075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087"/>
    <w:rPr>
      <w:rFonts w:ascii="Calibri" w:eastAsia="Calibri" w:hAnsi="Calibri" w:cs="Calibri"/>
      <w:color w:val="000000"/>
    </w:rPr>
  </w:style>
  <w:style w:type="paragraph" w:styleId="ListParagraph">
    <w:name w:val="List Paragraph"/>
    <w:basedOn w:val="Normal"/>
    <w:uiPriority w:val="34"/>
    <w:qFormat/>
    <w:rsid w:val="002E537D"/>
    <w:pPr>
      <w:ind w:left="720"/>
      <w:contextualSpacing/>
    </w:pPr>
  </w:style>
  <w:style w:type="character" w:styleId="Hyperlink">
    <w:name w:val="Hyperlink"/>
    <w:basedOn w:val="DefaultParagraphFont"/>
    <w:uiPriority w:val="99"/>
    <w:unhideWhenUsed/>
    <w:rsid w:val="00CD6571"/>
    <w:rPr>
      <w:color w:val="0563C1" w:themeColor="hyperlink"/>
      <w:u w:val="single"/>
    </w:rPr>
  </w:style>
  <w:style w:type="character" w:styleId="UnresolvedMention">
    <w:name w:val="Unresolved Mention"/>
    <w:basedOn w:val="DefaultParagraphFont"/>
    <w:uiPriority w:val="99"/>
    <w:semiHidden/>
    <w:unhideWhenUsed/>
    <w:rsid w:val="00CD6571"/>
    <w:rPr>
      <w:color w:val="605E5C"/>
      <w:shd w:val="clear" w:color="auto" w:fill="E1DFDD"/>
    </w:rPr>
  </w:style>
  <w:style w:type="paragraph" w:customStyle="1" w:styleId="paragraph">
    <w:name w:val="paragraph"/>
    <w:basedOn w:val="Normal"/>
    <w:rsid w:val="0032754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27549"/>
  </w:style>
  <w:style w:type="character" w:customStyle="1" w:styleId="eop">
    <w:name w:val="eop"/>
    <w:basedOn w:val="DefaultParagraphFont"/>
    <w:rsid w:val="00327549"/>
  </w:style>
  <w:style w:type="character" w:customStyle="1" w:styleId="tabchar">
    <w:name w:val="tabchar"/>
    <w:basedOn w:val="DefaultParagraphFont"/>
    <w:rsid w:val="0032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73350">
      <w:bodyDiv w:val="1"/>
      <w:marLeft w:val="0"/>
      <w:marRight w:val="0"/>
      <w:marTop w:val="0"/>
      <w:marBottom w:val="0"/>
      <w:divBdr>
        <w:top w:val="none" w:sz="0" w:space="0" w:color="auto"/>
        <w:left w:val="none" w:sz="0" w:space="0" w:color="auto"/>
        <w:bottom w:val="none" w:sz="0" w:space="0" w:color="auto"/>
        <w:right w:val="none" w:sz="0" w:space="0" w:color="auto"/>
      </w:divBdr>
      <w:divsChild>
        <w:div w:id="369961826">
          <w:marLeft w:val="0"/>
          <w:marRight w:val="0"/>
          <w:marTop w:val="0"/>
          <w:marBottom w:val="0"/>
          <w:divBdr>
            <w:top w:val="none" w:sz="0" w:space="0" w:color="auto"/>
            <w:left w:val="none" w:sz="0" w:space="0" w:color="auto"/>
            <w:bottom w:val="none" w:sz="0" w:space="0" w:color="auto"/>
            <w:right w:val="none" w:sz="0" w:space="0" w:color="auto"/>
          </w:divBdr>
          <w:divsChild>
            <w:div w:id="1597638683">
              <w:marLeft w:val="0"/>
              <w:marRight w:val="0"/>
              <w:marTop w:val="0"/>
              <w:marBottom w:val="0"/>
              <w:divBdr>
                <w:top w:val="none" w:sz="0" w:space="0" w:color="auto"/>
                <w:left w:val="none" w:sz="0" w:space="0" w:color="auto"/>
                <w:bottom w:val="none" w:sz="0" w:space="0" w:color="auto"/>
                <w:right w:val="none" w:sz="0" w:space="0" w:color="auto"/>
              </w:divBdr>
            </w:div>
            <w:div w:id="1562056842">
              <w:marLeft w:val="0"/>
              <w:marRight w:val="0"/>
              <w:marTop w:val="0"/>
              <w:marBottom w:val="0"/>
              <w:divBdr>
                <w:top w:val="none" w:sz="0" w:space="0" w:color="auto"/>
                <w:left w:val="none" w:sz="0" w:space="0" w:color="auto"/>
                <w:bottom w:val="none" w:sz="0" w:space="0" w:color="auto"/>
                <w:right w:val="none" w:sz="0" w:space="0" w:color="auto"/>
              </w:divBdr>
            </w:div>
            <w:div w:id="481891400">
              <w:marLeft w:val="0"/>
              <w:marRight w:val="0"/>
              <w:marTop w:val="0"/>
              <w:marBottom w:val="0"/>
              <w:divBdr>
                <w:top w:val="none" w:sz="0" w:space="0" w:color="auto"/>
                <w:left w:val="none" w:sz="0" w:space="0" w:color="auto"/>
                <w:bottom w:val="none" w:sz="0" w:space="0" w:color="auto"/>
                <w:right w:val="none" w:sz="0" w:space="0" w:color="auto"/>
              </w:divBdr>
            </w:div>
            <w:div w:id="542594081">
              <w:marLeft w:val="0"/>
              <w:marRight w:val="0"/>
              <w:marTop w:val="0"/>
              <w:marBottom w:val="0"/>
              <w:divBdr>
                <w:top w:val="none" w:sz="0" w:space="0" w:color="auto"/>
                <w:left w:val="none" w:sz="0" w:space="0" w:color="auto"/>
                <w:bottom w:val="none" w:sz="0" w:space="0" w:color="auto"/>
                <w:right w:val="none" w:sz="0" w:space="0" w:color="auto"/>
              </w:divBdr>
            </w:div>
            <w:div w:id="1093209346">
              <w:marLeft w:val="0"/>
              <w:marRight w:val="0"/>
              <w:marTop w:val="0"/>
              <w:marBottom w:val="0"/>
              <w:divBdr>
                <w:top w:val="none" w:sz="0" w:space="0" w:color="auto"/>
                <w:left w:val="none" w:sz="0" w:space="0" w:color="auto"/>
                <w:bottom w:val="none" w:sz="0" w:space="0" w:color="auto"/>
                <w:right w:val="none" w:sz="0" w:space="0" w:color="auto"/>
              </w:divBdr>
            </w:div>
          </w:divsChild>
        </w:div>
        <w:div w:id="1626887881">
          <w:marLeft w:val="0"/>
          <w:marRight w:val="0"/>
          <w:marTop w:val="0"/>
          <w:marBottom w:val="0"/>
          <w:divBdr>
            <w:top w:val="none" w:sz="0" w:space="0" w:color="auto"/>
            <w:left w:val="none" w:sz="0" w:space="0" w:color="auto"/>
            <w:bottom w:val="none" w:sz="0" w:space="0" w:color="auto"/>
            <w:right w:val="none" w:sz="0" w:space="0" w:color="auto"/>
          </w:divBdr>
          <w:divsChild>
            <w:div w:id="1779131113">
              <w:marLeft w:val="0"/>
              <w:marRight w:val="0"/>
              <w:marTop w:val="0"/>
              <w:marBottom w:val="0"/>
              <w:divBdr>
                <w:top w:val="none" w:sz="0" w:space="0" w:color="auto"/>
                <w:left w:val="none" w:sz="0" w:space="0" w:color="auto"/>
                <w:bottom w:val="none" w:sz="0" w:space="0" w:color="auto"/>
                <w:right w:val="none" w:sz="0" w:space="0" w:color="auto"/>
              </w:divBdr>
            </w:div>
            <w:div w:id="1031764090">
              <w:marLeft w:val="0"/>
              <w:marRight w:val="0"/>
              <w:marTop w:val="0"/>
              <w:marBottom w:val="0"/>
              <w:divBdr>
                <w:top w:val="none" w:sz="0" w:space="0" w:color="auto"/>
                <w:left w:val="none" w:sz="0" w:space="0" w:color="auto"/>
                <w:bottom w:val="none" w:sz="0" w:space="0" w:color="auto"/>
                <w:right w:val="none" w:sz="0" w:space="0" w:color="auto"/>
              </w:divBdr>
            </w:div>
            <w:div w:id="879169161">
              <w:marLeft w:val="0"/>
              <w:marRight w:val="0"/>
              <w:marTop w:val="0"/>
              <w:marBottom w:val="0"/>
              <w:divBdr>
                <w:top w:val="none" w:sz="0" w:space="0" w:color="auto"/>
                <w:left w:val="none" w:sz="0" w:space="0" w:color="auto"/>
                <w:bottom w:val="none" w:sz="0" w:space="0" w:color="auto"/>
                <w:right w:val="none" w:sz="0" w:space="0" w:color="auto"/>
              </w:divBdr>
            </w:div>
            <w:div w:id="1073744141">
              <w:marLeft w:val="0"/>
              <w:marRight w:val="0"/>
              <w:marTop w:val="0"/>
              <w:marBottom w:val="0"/>
              <w:divBdr>
                <w:top w:val="none" w:sz="0" w:space="0" w:color="auto"/>
                <w:left w:val="none" w:sz="0" w:space="0" w:color="auto"/>
                <w:bottom w:val="none" w:sz="0" w:space="0" w:color="auto"/>
                <w:right w:val="none" w:sz="0" w:space="0" w:color="auto"/>
              </w:divBdr>
            </w:div>
            <w:div w:id="962032928">
              <w:marLeft w:val="0"/>
              <w:marRight w:val="0"/>
              <w:marTop w:val="0"/>
              <w:marBottom w:val="0"/>
              <w:divBdr>
                <w:top w:val="none" w:sz="0" w:space="0" w:color="auto"/>
                <w:left w:val="none" w:sz="0" w:space="0" w:color="auto"/>
                <w:bottom w:val="none" w:sz="0" w:space="0" w:color="auto"/>
                <w:right w:val="none" w:sz="0" w:space="0" w:color="auto"/>
              </w:divBdr>
            </w:div>
            <w:div w:id="652443276">
              <w:marLeft w:val="0"/>
              <w:marRight w:val="0"/>
              <w:marTop w:val="0"/>
              <w:marBottom w:val="0"/>
              <w:divBdr>
                <w:top w:val="none" w:sz="0" w:space="0" w:color="auto"/>
                <w:left w:val="none" w:sz="0" w:space="0" w:color="auto"/>
                <w:bottom w:val="none" w:sz="0" w:space="0" w:color="auto"/>
                <w:right w:val="none" w:sz="0" w:space="0" w:color="auto"/>
              </w:divBdr>
            </w:div>
            <w:div w:id="2019114893">
              <w:marLeft w:val="0"/>
              <w:marRight w:val="0"/>
              <w:marTop w:val="0"/>
              <w:marBottom w:val="0"/>
              <w:divBdr>
                <w:top w:val="none" w:sz="0" w:space="0" w:color="auto"/>
                <w:left w:val="none" w:sz="0" w:space="0" w:color="auto"/>
                <w:bottom w:val="none" w:sz="0" w:space="0" w:color="auto"/>
                <w:right w:val="none" w:sz="0" w:space="0" w:color="auto"/>
              </w:divBdr>
            </w:div>
            <w:div w:id="319433374">
              <w:marLeft w:val="0"/>
              <w:marRight w:val="0"/>
              <w:marTop w:val="0"/>
              <w:marBottom w:val="0"/>
              <w:divBdr>
                <w:top w:val="none" w:sz="0" w:space="0" w:color="auto"/>
                <w:left w:val="none" w:sz="0" w:space="0" w:color="auto"/>
                <w:bottom w:val="none" w:sz="0" w:space="0" w:color="auto"/>
                <w:right w:val="none" w:sz="0" w:space="0" w:color="auto"/>
              </w:divBdr>
            </w:div>
            <w:div w:id="1274093854">
              <w:marLeft w:val="0"/>
              <w:marRight w:val="0"/>
              <w:marTop w:val="0"/>
              <w:marBottom w:val="0"/>
              <w:divBdr>
                <w:top w:val="none" w:sz="0" w:space="0" w:color="auto"/>
                <w:left w:val="none" w:sz="0" w:space="0" w:color="auto"/>
                <w:bottom w:val="none" w:sz="0" w:space="0" w:color="auto"/>
                <w:right w:val="none" w:sz="0" w:space="0" w:color="auto"/>
              </w:divBdr>
            </w:div>
            <w:div w:id="47384327">
              <w:marLeft w:val="0"/>
              <w:marRight w:val="0"/>
              <w:marTop w:val="0"/>
              <w:marBottom w:val="0"/>
              <w:divBdr>
                <w:top w:val="none" w:sz="0" w:space="0" w:color="auto"/>
                <w:left w:val="none" w:sz="0" w:space="0" w:color="auto"/>
                <w:bottom w:val="none" w:sz="0" w:space="0" w:color="auto"/>
                <w:right w:val="none" w:sz="0" w:space="0" w:color="auto"/>
              </w:divBdr>
            </w:div>
            <w:div w:id="181748647">
              <w:marLeft w:val="0"/>
              <w:marRight w:val="0"/>
              <w:marTop w:val="0"/>
              <w:marBottom w:val="0"/>
              <w:divBdr>
                <w:top w:val="none" w:sz="0" w:space="0" w:color="auto"/>
                <w:left w:val="none" w:sz="0" w:space="0" w:color="auto"/>
                <w:bottom w:val="none" w:sz="0" w:space="0" w:color="auto"/>
                <w:right w:val="none" w:sz="0" w:space="0" w:color="auto"/>
              </w:divBdr>
            </w:div>
            <w:div w:id="1298726939">
              <w:marLeft w:val="0"/>
              <w:marRight w:val="0"/>
              <w:marTop w:val="0"/>
              <w:marBottom w:val="0"/>
              <w:divBdr>
                <w:top w:val="none" w:sz="0" w:space="0" w:color="auto"/>
                <w:left w:val="none" w:sz="0" w:space="0" w:color="auto"/>
                <w:bottom w:val="none" w:sz="0" w:space="0" w:color="auto"/>
                <w:right w:val="none" w:sz="0" w:space="0" w:color="auto"/>
              </w:divBdr>
            </w:div>
            <w:div w:id="1697849805">
              <w:marLeft w:val="0"/>
              <w:marRight w:val="0"/>
              <w:marTop w:val="0"/>
              <w:marBottom w:val="0"/>
              <w:divBdr>
                <w:top w:val="none" w:sz="0" w:space="0" w:color="auto"/>
                <w:left w:val="none" w:sz="0" w:space="0" w:color="auto"/>
                <w:bottom w:val="none" w:sz="0" w:space="0" w:color="auto"/>
                <w:right w:val="none" w:sz="0" w:space="0" w:color="auto"/>
              </w:divBdr>
            </w:div>
            <w:div w:id="1178883054">
              <w:marLeft w:val="0"/>
              <w:marRight w:val="0"/>
              <w:marTop w:val="0"/>
              <w:marBottom w:val="0"/>
              <w:divBdr>
                <w:top w:val="none" w:sz="0" w:space="0" w:color="auto"/>
                <w:left w:val="none" w:sz="0" w:space="0" w:color="auto"/>
                <w:bottom w:val="none" w:sz="0" w:space="0" w:color="auto"/>
                <w:right w:val="none" w:sz="0" w:space="0" w:color="auto"/>
              </w:divBdr>
            </w:div>
            <w:div w:id="1755397571">
              <w:marLeft w:val="0"/>
              <w:marRight w:val="0"/>
              <w:marTop w:val="0"/>
              <w:marBottom w:val="0"/>
              <w:divBdr>
                <w:top w:val="none" w:sz="0" w:space="0" w:color="auto"/>
                <w:left w:val="none" w:sz="0" w:space="0" w:color="auto"/>
                <w:bottom w:val="none" w:sz="0" w:space="0" w:color="auto"/>
                <w:right w:val="none" w:sz="0" w:space="0" w:color="auto"/>
              </w:divBdr>
            </w:div>
            <w:div w:id="194119982">
              <w:marLeft w:val="0"/>
              <w:marRight w:val="0"/>
              <w:marTop w:val="0"/>
              <w:marBottom w:val="0"/>
              <w:divBdr>
                <w:top w:val="none" w:sz="0" w:space="0" w:color="auto"/>
                <w:left w:val="none" w:sz="0" w:space="0" w:color="auto"/>
                <w:bottom w:val="none" w:sz="0" w:space="0" w:color="auto"/>
                <w:right w:val="none" w:sz="0" w:space="0" w:color="auto"/>
              </w:divBdr>
            </w:div>
            <w:div w:id="1765687125">
              <w:marLeft w:val="0"/>
              <w:marRight w:val="0"/>
              <w:marTop w:val="0"/>
              <w:marBottom w:val="0"/>
              <w:divBdr>
                <w:top w:val="none" w:sz="0" w:space="0" w:color="auto"/>
                <w:left w:val="none" w:sz="0" w:space="0" w:color="auto"/>
                <w:bottom w:val="none" w:sz="0" w:space="0" w:color="auto"/>
                <w:right w:val="none" w:sz="0" w:space="0" w:color="auto"/>
              </w:divBdr>
            </w:div>
            <w:div w:id="1249802636">
              <w:marLeft w:val="0"/>
              <w:marRight w:val="0"/>
              <w:marTop w:val="0"/>
              <w:marBottom w:val="0"/>
              <w:divBdr>
                <w:top w:val="none" w:sz="0" w:space="0" w:color="auto"/>
                <w:left w:val="none" w:sz="0" w:space="0" w:color="auto"/>
                <w:bottom w:val="none" w:sz="0" w:space="0" w:color="auto"/>
                <w:right w:val="none" w:sz="0" w:space="0" w:color="auto"/>
              </w:divBdr>
            </w:div>
            <w:div w:id="580288116">
              <w:marLeft w:val="0"/>
              <w:marRight w:val="0"/>
              <w:marTop w:val="0"/>
              <w:marBottom w:val="0"/>
              <w:divBdr>
                <w:top w:val="none" w:sz="0" w:space="0" w:color="auto"/>
                <w:left w:val="none" w:sz="0" w:space="0" w:color="auto"/>
                <w:bottom w:val="none" w:sz="0" w:space="0" w:color="auto"/>
                <w:right w:val="none" w:sz="0" w:space="0" w:color="auto"/>
              </w:divBdr>
            </w:div>
            <w:div w:id="1471938839">
              <w:marLeft w:val="0"/>
              <w:marRight w:val="0"/>
              <w:marTop w:val="0"/>
              <w:marBottom w:val="0"/>
              <w:divBdr>
                <w:top w:val="none" w:sz="0" w:space="0" w:color="auto"/>
                <w:left w:val="none" w:sz="0" w:space="0" w:color="auto"/>
                <w:bottom w:val="none" w:sz="0" w:space="0" w:color="auto"/>
                <w:right w:val="none" w:sz="0" w:space="0" w:color="auto"/>
              </w:divBdr>
            </w:div>
          </w:divsChild>
        </w:div>
        <w:div w:id="114180515">
          <w:marLeft w:val="0"/>
          <w:marRight w:val="0"/>
          <w:marTop w:val="0"/>
          <w:marBottom w:val="0"/>
          <w:divBdr>
            <w:top w:val="none" w:sz="0" w:space="0" w:color="auto"/>
            <w:left w:val="none" w:sz="0" w:space="0" w:color="auto"/>
            <w:bottom w:val="none" w:sz="0" w:space="0" w:color="auto"/>
            <w:right w:val="none" w:sz="0" w:space="0" w:color="auto"/>
          </w:divBdr>
        </w:div>
        <w:div w:id="383910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toral-research-system.open.ac.uk" TargetMode="External"/><Relationship Id="rId18" Type="http://schemas.openxmlformats.org/officeDocument/2006/relationships/hyperlink" Target="https://learn2.open.ac.uk/course/view.php?id=207539" TargetMode="External"/><Relationship Id="rId26" Type="http://schemas.openxmlformats.org/officeDocument/2006/relationships/hyperlink" Target="https://www5.open.ac.uk/students/research/forms-and-guidance/thesis%20submission%20guidelines" TargetMode="External"/><Relationship Id="rId3" Type="http://schemas.openxmlformats.org/officeDocument/2006/relationships/customXml" Target="../customXml/item3.xml"/><Relationship Id="rId21" Type="http://schemas.openxmlformats.org/officeDocument/2006/relationships/hyperlink" Target="https://help.open.ac.uk/documents/policies/research-degree-regula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elp.open.ac.uk/documents/policies/research-degree-regulations" TargetMode="External"/><Relationship Id="rId17" Type="http://schemas.openxmlformats.org/officeDocument/2006/relationships/hyperlink" Target="https://learn2.open.ac.uk/course/view.php?id=207539" TargetMode="External"/><Relationship Id="rId25" Type="http://schemas.openxmlformats.org/officeDocument/2006/relationships/hyperlink" Target="http://www.open.ac.uk/library-research-support/research-data-management/what-are-research-dat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arn2.open.ac.uk/mod/forumng/view.php?id=1549974" TargetMode="External"/><Relationship Id="rId20" Type="http://schemas.openxmlformats.org/officeDocument/2006/relationships/hyperlink" Target="https://help.open.ac.uk/documents/policies/research-degree-regulations" TargetMode="External"/><Relationship Id="rId29" Type="http://schemas.openxmlformats.org/officeDocument/2006/relationships/hyperlink" Target="https://www5.open.ac.uk/students/research/forms-and-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open.ac.uk/documents/policies/research-degree-regulations" TargetMode="External"/><Relationship Id="rId24" Type="http://schemas.openxmlformats.org/officeDocument/2006/relationships/hyperlink" Target="https://help.open.ac.uk/documents/policies/complaints-and-appeals-procedure" TargetMode="External"/><Relationship Id="rId32" Type="http://schemas.openxmlformats.org/officeDocument/2006/relationships/hyperlink" Target="mailto:research-degrees-office@open.ac.uk" TargetMode="External"/><Relationship Id="rId5" Type="http://schemas.openxmlformats.org/officeDocument/2006/relationships/styles" Target="styles.xml"/><Relationship Id="rId15" Type="http://schemas.openxmlformats.org/officeDocument/2006/relationships/hyperlink" Target="https://learn2.open.ac.uk/mod/forumng/view.php?id=1549974" TargetMode="External"/><Relationship Id="rId23" Type="http://schemas.openxmlformats.org/officeDocument/2006/relationships/hyperlink" Target="http://www.open.ac.uk/research/governance/policies" TargetMode="External"/><Relationship Id="rId28" Type="http://schemas.openxmlformats.org/officeDocument/2006/relationships/hyperlink" Target="https://help.open.ac.uk/documents/policies/prevent-principles" TargetMode="External"/><Relationship Id="rId10" Type="http://schemas.openxmlformats.org/officeDocument/2006/relationships/image" Target="media/image1.jpg"/><Relationship Id="rId19" Type="http://schemas.openxmlformats.org/officeDocument/2006/relationships/hyperlink" Target="https://help.open.ac.uk/documents/policies/research-degree-regulations" TargetMode="External"/><Relationship Id="rId31" Type="http://schemas.openxmlformats.org/officeDocument/2006/relationships/hyperlink" Target="https://www5.open.ac.uk/students/research/services/supervis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rn2.open.ac.uk/mod/forumng/view.php?id=1549974" TargetMode="External"/><Relationship Id="rId22" Type="http://schemas.openxmlformats.org/officeDocument/2006/relationships/hyperlink" Target="https://research.open.ac.uk/environment/policies/procedure-investigation-research-misconduct-allegations" TargetMode="External"/><Relationship Id="rId27" Type="http://schemas.openxmlformats.org/officeDocument/2006/relationships/hyperlink" Target="https://www5.open.ac.uk/students/research/forms-and-guidance/examination%20guidelines" TargetMode="External"/><Relationship Id="rId30" Type="http://schemas.openxmlformats.org/officeDocument/2006/relationships/hyperlink" Target="https://www5.open.ac.uk/students/research/servi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9EEE2-2CD1-44A3-9535-BEE29D96C0BD}">
  <ds:schemaRefs>
    <ds:schemaRef ds:uri="http://purl.org/dc/dcmitype/"/>
    <ds:schemaRef ds:uri="http://schemas.microsoft.com/office/infopath/2007/PartnerControls"/>
    <ds:schemaRef ds:uri="a59ef6e3-9c16-46d4-b48e-90bb2c361b3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7889309-0a88-470e-a072-c473ad9cd30e"/>
    <ds:schemaRef ds:uri="http://www.w3.org/XML/1998/namespace"/>
  </ds:schemaRefs>
</ds:datastoreItem>
</file>

<file path=customXml/itemProps2.xml><?xml version="1.0" encoding="utf-8"?>
<ds:datastoreItem xmlns:ds="http://schemas.openxmlformats.org/officeDocument/2006/customXml" ds:itemID="{B893DD8B-A35C-4245-A731-54719865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3F2BB-7653-4100-A415-54DECAB30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Sara.Spencer</dc:creator>
  <cp:keywords/>
  <cp:lastModifiedBy>Cameron.Tapley</cp:lastModifiedBy>
  <cp:revision>13</cp:revision>
  <dcterms:created xsi:type="dcterms:W3CDTF">2020-07-27T11:16:00Z</dcterms:created>
  <dcterms:modified xsi:type="dcterms:W3CDTF">2024-07-02T13:22:00Z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