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2AEE" w14:textId="07204ECD" w:rsidR="008B0A47" w:rsidRDefault="008B0A47">
      <w:pPr>
        <w:rPr>
          <w:b/>
          <w:lang w:val="en-US"/>
        </w:rPr>
      </w:pPr>
      <w:r w:rsidRPr="00B95611">
        <w:rPr>
          <w:noProof/>
          <w:lang w:eastAsia="en-GB"/>
        </w:rPr>
        <w:drawing>
          <wp:anchor distT="0" distB="0" distL="114300" distR="114300" simplePos="0" relativeHeight="251659264" behindDoc="0" locked="0" layoutInCell="1" allowOverlap="1" wp14:anchorId="5DD734BF" wp14:editId="7541367D">
            <wp:simplePos x="0" y="0"/>
            <wp:positionH relativeFrom="column">
              <wp:posOffset>-247650</wp:posOffset>
            </wp:positionH>
            <wp:positionV relativeFrom="paragraph">
              <wp:posOffset>-527685</wp:posOffset>
            </wp:positionV>
            <wp:extent cx="1048068" cy="718835"/>
            <wp:effectExtent l="0" t="0" r="0" b="508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068" cy="71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1D2D1" w14:textId="77777777" w:rsidR="008B0A47" w:rsidRDefault="008B0A47">
      <w:pPr>
        <w:rPr>
          <w:b/>
          <w:lang w:val="en-US"/>
        </w:rPr>
      </w:pPr>
    </w:p>
    <w:p w14:paraId="43CF8A68" w14:textId="77777777" w:rsidR="0053521F" w:rsidRPr="0053521F" w:rsidRDefault="0053521F" w:rsidP="00E0065A">
      <w:pPr>
        <w:jc w:val="right"/>
        <w:rPr>
          <w:rFonts w:ascii="Arial" w:hAnsi="Arial" w:cs="Arial"/>
          <w:b/>
          <w:sz w:val="44"/>
          <w:szCs w:val="44"/>
          <w:lang w:val="en-US"/>
        </w:rPr>
      </w:pPr>
      <w:r w:rsidRPr="0053521F">
        <w:rPr>
          <w:rFonts w:ascii="Arial" w:hAnsi="Arial" w:cs="Arial"/>
          <w:b/>
          <w:sz w:val="44"/>
          <w:szCs w:val="44"/>
          <w:lang w:val="en-US"/>
        </w:rPr>
        <w:t>Research Degrees</w:t>
      </w:r>
    </w:p>
    <w:p w14:paraId="33048324" w14:textId="0BFDA135" w:rsidR="00000000" w:rsidRPr="0053521F" w:rsidRDefault="008B0A47" w:rsidP="0053521F">
      <w:pPr>
        <w:jc w:val="right"/>
        <w:rPr>
          <w:rFonts w:ascii="Arial" w:hAnsi="Arial" w:cs="Arial"/>
          <w:b/>
          <w:sz w:val="40"/>
          <w:szCs w:val="44"/>
          <w:lang w:val="en-US"/>
        </w:rPr>
      </w:pPr>
      <w:r w:rsidRPr="0053521F">
        <w:rPr>
          <w:rFonts w:ascii="Arial" w:hAnsi="Arial" w:cs="Arial"/>
          <w:b/>
          <w:sz w:val="40"/>
          <w:szCs w:val="44"/>
          <w:lang w:val="en-US"/>
        </w:rPr>
        <w:t>Examination Panel C</w:t>
      </w:r>
      <w:r w:rsidR="00D9584A" w:rsidRPr="0053521F">
        <w:rPr>
          <w:rFonts w:ascii="Arial" w:hAnsi="Arial" w:cs="Arial"/>
          <w:b/>
          <w:sz w:val="40"/>
          <w:szCs w:val="44"/>
          <w:lang w:val="en-US"/>
        </w:rPr>
        <w:t xml:space="preserve">hair </w:t>
      </w:r>
      <w:r w:rsidR="004D1BAF" w:rsidRPr="0053521F">
        <w:rPr>
          <w:rFonts w:ascii="Arial" w:hAnsi="Arial" w:cs="Arial"/>
          <w:b/>
          <w:sz w:val="40"/>
          <w:szCs w:val="44"/>
          <w:lang w:val="en-US"/>
        </w:rPr>
        <w:t xml:space="preserve">(EPC) </w:t>
      </w:r>
      <w:r w:rsidRPr="0053521F">
        <w:rPr>
          <w:rFonts w:ascii="Arial" w:hAnsi="Arial" w:cs="Arial"/>
          <w:b/>
          <w:sz w:val="40"/>
          <w:szCs w:val="44"/>
          <w:lang w:val="en-US"/>
        </w:rPr>
        <w:t>Training G</w:t>
      </w:r>
      <w:r w:rsidR="00D9584A" w:rsidRPr="0053521F">
        <w:rPr>
          <w:rFonts w:ascii="Arial" w:hAnsi="Arial" w:cs="Arial"/>
          <w:b/>
          <w:sz w:val="40"/>
          <w:szCs w:val="44"/>
          <w:lang w:val="en-US"/>
        </w:rPr>
        <w:t>uidelines</w:t>
      </w:r>
    </w:p>
    <w:p w14:paraId="4F27DDB6" w14:textId="77777777" w:rsidR="00D9584A" w:rsidRDefault="00D9584A">
      <w:pPr>
        <w:rPr>
          <w:lang w:val="en-US"/>
        </w:rPr>
      </w:pPr>
    </w:p>
    <w:p w14:paraId="47715C98" w14:textId="77777777" w:rsidR="00D9584A" w:rsidRPr="0053521F" w:rsidRDefault="00D9584A" w:rsidP="00D9584A">
      <w:pPr>
        <w:rPr>
          <w:rFonts w:ascii="Arial" w:hAnsi="Arial" w:cs="Arial"/>
          <w:b/>
          <w:sz w:val="22"/>
          <w:szCs w:val="22"/>
          <w:u w:val="single"/>
        </w:rPr>
      </w:pPr>
      <w:r w:rsidRPr="0053521F">
        <w:rPr>
          <w:rFonts w:ascii="Arial" w:hAnsi="Arial" w:cs="Arial"/>
          <w:b/>
          <w:sz w:val="22"/>
          <w:szCs w:val="22"/>
          <w:u w:val="single"/>
        </w:rPr>
        <w:t>Expectations:</w:t>
      </w:r>
    </w:p>
    <w:p w14:paraId="3B5F2256" w14:textId="77777777" w:rsidR="0053521F" w:rsidRPr="0053521F" w:rsidRDefault="0053521F" w:rsidP="00D9584A">
      <w:pPr>
        <w:rPr>
          <w:rFonts w:ascii="Arial" w:hAnsi="Arial" w:cs="Arial"/>
          <w:i/>
          <w:sz w:val="22"/>
          <w:szCs w:val="22"/>
        </w:rPr>
      </w:pPr>
    </w:p>
    <w:p w14:paraId="62FA0603" w14:textId="30AAE7B8" w:rsidR="00D9584A" w:rsidRPr="0053521F" w:rsidRDefault="00D9584A" w:rsidP="00D9584A">
      <w:pPr>
        <w:pStyle w:val="ListParagraph"/>
        <w:numPr>
          <w:ilvl w:val="0"/>
          <w:numId w:val="1"/>
        </w:numPr>
        <w:ind w:left="360"/>
        <w:rPr>
          <w:rFonts w:ascii="Arial" w:hAnsi="Arial" w:cs="Arial"/>
          <w:sz w:val="22"/>
          <w:szCs w:val="22"/>
        </w:rPr>
      </w:pPr>
      <w:r w:rsidRPr="0053521F">
        <w:rPr>
          <w:rFonts w:ascii="Arial" w:hAnsi="Arial" w:cs="Arial"/>
          <w:sz w:val="22"/>
          <w:szCs w:val="22"/>
        </w:rPr>
        <w:t xml:space="preserve">Attend training before acting as </w:t>
      </w:r>
      <w:r w:rsidR="00B606B6" w:rsidRPr="0053521F">
        <w:rPr>
          <w:rFonts w:ascii="Arial" w:hAnsi="Arial" w:cs="Arial"/>
          <w:sz w:val="22"/>
          <w:szCs w:val="22"/>
        </w:rPr>
        <w:t xml:space="preserve">an </w:t>
      </w:r>
      <w:r w:rsidRPr="0053521F">
        <w:rPr>
          <w:rFonts w:ascii="Arial" w:hAnsi="Arial" w:cs="Arial"/>
          <w:sz w:val="22"/>
          <w:szCs w:val="22"/>
        </w:rPr>
        <w:t>EPC</w:t>
      </w:r>
      <w:r w:rsidR="001F4FEA" w:rsidRPr="0053521F">
        <w:rPr>
          <w:rFonts w:ascii="Arial" w:hAnsi="Arial" w:cs="Arial"/>
          <w:sz w:val="22"/>
          <w:szCs w:val="22"/>
        </w:rPr>
        <w:t xml:space="preserve"> for the OU for the first time.</w:t>
      </w:r>
    </w:p>
    <w:p w14:paraId="2CC59647" w14:textId="1F6A8C12" w:rsidR="00D9584A" w:rsidRPr="0053521F" w:rsidRDefault="001F4FEA" w:rsidP="00D9584A">
      <w:pPr>
        <w:pStyle w:val="ListParagraph"/>
        <w:numPr>
          <w:ilvl w:val="0"/>
          <w:numId w:val="1"/>
        </w:numPr>
        <w:ind w:left="360"/>
        <w:rPr>
          <w:rFonts w:ascii="Arial" w:hAnsi="Arial" w:cs="Arial"/>
          <w:sz w:val="22"/>
          <w:szCs w:val="22"/>
        </w:rPr>
      </w:pPr>
      <w:r w:rsidRPr="0053521F">
        <w:rPr>
          <w:rFonts w:ascii="Arial" w:hAnsi="Arial" w:cs="Arial"/>
          <w:sz w:val="22"/>
          <w:szCs w:val="22"/>
        </w:rPr>
        <w:t xml:space="preserve">By accepting the role of EPC, certify </w:t>
      </w:r>
      <w:r w:rsidR="00D9584A" w:rsidRPr="0053521F">
        <w:rPr>
          <w:rFonts w:ascii="Arial" w:hAnsi="Arial" w:cs="Arial"/>
          <w:sz w:val="22"/>
          <w:szCs w:val="22"/>
        </w:rPr>
        <w:t>that they have read, understood, and agree to abide by the Research Degree Regulations and the Research Degree Handbook.</w:t>
      </w:r>
    </w:p>
    <w:p w14:paraId="3322FEEE" w14:textId="77777777" w:rsidR="00D9584A" w:rsidRPr="0053521F" w:rsidRDefault="00D9584A" w:rsidP="00D9584A">
      <w:pPr>
        <w:pStyle w:val="ListParagraph"/>
        <w:numPr>
          <w:ilvl w:val="0"/>
          <w:numId w:val="1"/>
        </w:numPr>
        <w:ind w:left="360"/>
        <w:rPr>
          <w:rFonts w:ascii="Arial" w:hAnsi="Arial" w:cs="Arial"/>
          <w:sz w:val="22"/>
          <w:szCs w:val="22"/>
        </w:rPr>
      </w:pPr>
      <w:r w:rsidRPr="0053521F">
        <w:rPr>
          <w:rFonts w:ascii="Arial" w:hAnsi="Arial" w:cs="Arial"/>
          <w:sz w:val="22"/>
          <w:szCs w:val="22"/>
        </w:rPr>
        <w:t xml:space="preserve">Understand the role of the EPC:  to ensure that the viva is conducted fairly, with integrity, and </w:t>
      </w:r>
      <w:r w:rsidRPr="0053521F">
        <w:rPr>
          <w:rFonts w:ascii="Arial" w:hAnsi="Arial" w:cs="Arial"/>
          <w:i/>
          <w:sz w:val="22"/>
          <w:szCs w:val="22"/>
        </w:rPr>
        <w:t>in accordance with the regulations</w:t>
      </w:r>
      <w:r w:rsidRPr="0053521F">
        <w:rPr>
          <w:rFonts w:ascii="Arial" w:hAnsi="Arial" w:cs="Arial"/>
          <w:sz w:val="22"/>
          <w:szCs w:val="22"/>
        </w:rPr>
        <w:t xml:space="preserve">.  Hence, the role includes ensuring that the appropriate process is followed, managing all communication with examiners before and after the viva (including mediating any communication between students and examiners), witnessing the viva, intervening if things go amiss, and taking notes/keeping records in order to facilitate the process and keep an appropriate audit trail.  </w:t>
      </w:r>
    </w:p>
    <w:p w14:paraId="609AC1D5" w14:textId="77777777" w:rsidR="00D9584A" w:rsidRPr="0053521F" w:rsidRDefault="00D9584A" w:rsidP="00D9584A">
      <w:pPr>
        <w:pStyle w:val="ListParagraph"/>
        <w:numPr>
          <w:ilvl w:val="0"/>
          <w:numId w:val="1"/>
        </w:numPr>
        <w:ind w:left="360"/>
        <w:rPr>
          <w:rFonts w:ascii="Arial" w:hAnsi="Arial" w:cs="Arial"/>
          <w:sz w:val="22"/>
          <w:szCs w:val="22"/>
        </w:rPr>
      </w:pPr>
      <w:r w:rsidRPr="0053521F">
        <w:rPr>
          <w:rFonts w:ascii="Arial" w:hAnsi="Arial" w:cs="Arial"/>
          <w:sz w:val="22"/>
          <w:szCs w:val="22"/>
        </w:rPr>
        <w:t xml:space="preserve">Understand what records to keep:  In the event of a complaint or appeal (which can only be made on the basis of flaws in the procedure), the chair’s records form an essential part of the evidence of due process. </w:t>
      </w:r>
    </w:p>
    <w:p w14:paraId="2C0AEC43" w14:textId="77777777" w:rsidR="00D9584A" w:rsidRPr="0053521F" w:rsidRDefault="00D9584A" w:rsidP="00D9584A">
      <w:pPr>
        <w:pStyle w:val="ListParagraph"/>
        <w:numPr>
          <w:ilvl w:val="0"/>
          <w:numId w:val="1"/>
        </w:numPr>
        <w:ind w:left="360"/>
        <w:rPr>
          <w:rFonts w:ascii="Arial" w:hAnsi="Arial" w:cs="Arial"/>
          <w:sz w:val="22"/>
          <w:szCs w:val="22"/>
        </w:rPr>
      </w:pPr>
      <w:r w:rsidRPr="0053521F">
        <w:rPr>
          <w:rFonts w:ascii="Arial" w:hAnsi="Arial" w:cs="Arial"/>
          <w:sz w:val="22"/>
          <w:szCs w:val="22"/>
        </w:rPr>
        <w:t>Understand the duration of the role:  The examination panel is appointed for the whole of the examination process – not just from appointment to submission of the examination report form, but through possible resubmission, subsequent revision, and even appeal.  This could last 2 years or more.</w:t>
      </w:r>
    </w:p>
    <w:p w14:paraId="3A167EB0" w14:textId="77777777" w:rsidR="00D9584A" w:rsidRPr="0053521F" w:rsidRDefault="00D9584A" w:rsidP="00D9584A">
      <w:pPr>
        <w:pStyle w:val="ListParagraph"/>
        <w:numPr>
          <w:ilvl w:val="0"/>
          <w:numId w:val="1"/>
        </w:numPr>
        <w:ind w:left="360"/>
        <w:rPr>
          <w:rFonts w:ascii="Arial" w:hAnsi="Arial" w:cs="Arial"/>
          <w:sz w:val="22"/>
          <w:szCs w:val="22"/>
        </w:rPr>
      </w:pPr>
      <w:r w:rsidRPr="0053521F">
        <w:rPr>
          <w:rFonts w:ascii="Arial" w:hAnsi="Arial" w:cs="Arial"/>
          <w:sz w:val="22"/>
          <w:szCs w:val="22"/>
        </w:rPr>
        <w:t>Become familiar with the relevant forms and reporting obligations.</w:t>
      </w:r>
    </w:p>
    <w:p w14:paraId="0C06F032" w14:textId="77777777" w:rsidR="00D9584A" w:rsidRPr="0053521F" w:rsidRDefault="00D9584A" w:rsidP="00D9584A">
      <w:pPr>
        <w:pStyle w:val="ListParagraph"/>
        <w:numPr>
          <w:ilvl w:val="0"/>
          <w:numId w:val="1"/>
        </w:numPr>
        <w:ind w:left="360"/>
        <w:rPr>
          <w:rFonts w:ascii="Arial" w:hAnsi="Arial" w:cs="Arial"/>
          <w:sz w:val="22"/>
          <w:szCs w:val="22"/>
        </w:rPr>
      </w:pPr>
      <w:r w:rsidRPr="0053521F">
        <w:rPr>
          <w:rFonts w:ascii="Arial" w:hAnsi="Arial" w:cs="Arial"/>
          <w:sz w:val="22"/>
          <w:szCs w:val="22"/>
        </w:rPr>
        <w:t xml:space="preserve">Understand the duty of care:  to the student, supervisors, and university, reporting promptly to the RDO any </w:t>
      </w:r>
      <w:r w:rsidR="00F51D8A" w:rsidRPr="0053521F">
        <w:rPr>
          <w:rFonts w:ascii="Arial" w:hAnsi="Arial" w:cs="Arial"/>
          <w:sz w:val="22"/>
          <w:szCs w:val="22"/>
        </w:rPr>
        <w:t xml:space="preserve">pertinent </w:t>
      </w:r>
      <w:r w:rsidRPr="0053521F">
        <w:rPr>
          <w:rFonts w:ascii="Arial" w:hAnsi="Arial" w:cs="Arial"/>
          <w:sz w:val="22"/>
          <w:szCs w:val="22"/>
        </w:rPr>
        <w:t>concerns.  This includes understanding when to intervene (or even to stop the viva altogether), what sorts of issues might arise, and how to address such issues.</w:t>
      </w:r>
    </w:p>
    <w:p w14:paraId="013961DE" w14:textId="77777777" w:rsidR="00D9584A" w:rsidRPr="0053521F" w:rsidRDefault="00D9584A" w:rsidP="00D9584A">
      <w:pPr>
        <w:pStyle w:val="ListParagraph"/>
        <w:numPr>
          <w:ilvl w:val="0"/>
          <w:numId w:val="1"/>
        </w:numPr>
        <w:ind w:left="360"/>
        <w:rPr>
          <w:rFonts w:ascii="Arial" w:hAnsi="Arial" w:cs="Arial"/>
          <w:sz w:val="22"/>
          <w:szCs w:val="22"/>
        </w:rPr>
      </w:pPr>
      <w:r w:rsidRPr="0053521F">
        <w:rPr>
          <w:rFonts w:ascii="Arial" w:hAnsi="Arial" w:cs="Arial"/>
          <w:sz w:val="22"/>
          <w:szCs w:val="22"/>
        </w:rPr>
        <w:t>Become familiar with relevant structures and procedures:</w:t>
      </w:r>
    </w:p>
    <w:p w14:paraId="116C41DD" w14:textId="77777777" w:rsidR="00D9584A" w:rsidRPr="0053521F" w:rsidRDefault="00D9584A" w:rsidP="00D9584A">
      <w:pPr>
        <w:pStyle w:val="ListParagraph"/>
        <w:numPr>
          <w:ilvl w:val="1"/>
          <w:numId w:val="2"/>
        </w:numPr>
        <w:ind w:left="720"/>
        <w:rPr>
          <w:rFonts w:ascii="Arial" w:hAnsi="Arial" w:cs="Arial"/>
          <w:sz w:val="22"/>
          <w:szCs w:val="22"/>
        </w:rPr>
      </w:pPr>
      <w:r w:rsidRPr="0053521F">
        <w:rPr>
          <w:rFonts w:ascii="Arial" w:hAnsi="Arial" w:cs="Arial"/>
          <w:sz w:val="22"/>
          <w:szCs w:val="22"/>
        </w:rPr>
        <w:t>the QAA Doctoral Characteristics (Appendix 1 of RD regulations) and the relevant UK national qualification frameworks (FHEQ);</w:t>
      </w:r>
    </w:p>
    <w:p w14:paraId="01278851" w14:textId="77777777" w:rsidR="00D9584A" w:rsidRPr="0053521F" w:rsidRDefault="00B606B6" w:rsidP="00D9584A">
      <w:pPr>
        <w:pStyle w:val="ListParagraph"/>
        <w:numPr>
          <w:ilvl w:val="1"/>
          <w:numId w:val="2"/>
        </w:numPr>
        <w:ind w:left="720"/>
        <w:rPr>
          <w:rFonts w:ascii="Arial" w:hAnsi="Arial" w:cs="Arial"/>
          <w:sz w:val="22"/>
          <w:szCs w:val="22"/>
        </w:rPr>
      </w:pPr>
      <w:r w:rsidRPr="0053521F">
        <w:rPr>
          <w:rFonts w:ascii="Arial" w:hAnsi="Arial" w:cs="Arial"/>
          <w:sz w:val="22"/>
          <w:szCs w:val="22"/>
        </w:rPr>
        <w:t>ethics</w:t>
      </w:r>
      <w:r w:rsidR="00F51D8A" w:rsidRPr="0053521F">
        <w:rPr>
          <w:rFonts w:ascii="Arial" w:hAnsi="Arial" w:cs="Arial"/>
          <w:sz w:val="22"/>
          <w:szCs w:val="22"/>
        </w:rPr>
        <w:t xml:space="preserve"> frameworks</w:t>
      </w:r>
      <w:r w:rsidR="00D9584A" w:rsidRPr="0053521F">
        <w:rPr>
          <w:rFonts w:ascii="Arial" w:hAnsi="Arial" w:cs="Arial"/>
          <w:sz w:val="22"/>
          <w:szCs w:val="22"/>
        </w:rPr>
        <w:t>;</w:t>
      </w:r>
    </w:p>
    <w:p w14:paraId="64A53FE9" w14:textId="77777777" w:rsidR="00D9584A" w:rsidRPr="0053521F" w:rsidRDefault="00D9584A" w:rsidP="00D9584A">
      <w:pPr>
        <w:pStyle w:val="ListParagraph"/>
        <w:numPr>
          <w:ilvl w:val="1"/>
          <w:numId w:val="2"/>
        </w:numPr>
        <w:ind w:left="720"/>
        <w:rPr>
          <w:rFonts w:ascii="Arial" w:hAnsi="Arial" w:cs="Arial"/>
          <w:sz w:val="22"/>
          <w:szCs w:val="22"/>
        </w:rPr>
      </w:pPr>
      <w:r w:rsidRPr="0053521F">
        <w:rPr>
          <w:rFonts w:ascii="Arial" w:hAnsi="Arial" w:cs="Arial"/>
          <w:sz w:val="22"/>
          <w:szCs w:val="22"/>
        </w:rPr>
        <w:t>procedure for dealing with allegations of malpractice and misconduct;</w:t>
      </w:r>
    </w:p>
    <w:p w14:paraId="3291C3D9" w14:textId="77777777" w:rsidR="00D9584A" w:rsidRPr="0053521F" w:rsidRDefault="00D9584A" w:rsidP="00D9584A">
      <w:pPr>
        <w:pStyle w:val="ListParagraph"/>
        <w:numPr>
          <w:ilvl w:val="1"/>
          <w:numId w:val="2"/>
        </w:numPr>
        <w:ind w:left="720"/>
        <w:rPr>
          <w:rFonts w:ascii="Arial" w:hAnsi="Arial" w:cs="Arial"/>
          <w:sz w:val="22"/>
          <w:szCs w:val="22"/>
        </w:rPr>
      </w:pPr>
      <w:r w:rsidRPr="0053521F">
        <w:rPr>
          <w:rFonts w:ascii="Arial" w:hAnsi="Arial" w:cs="Arial"/>
          <w:sz w:val="22"/>
          <w:szCs w:val="22"/>
        </w:rPr>
        <w:t>appeals and complaints procedures;</w:t>
      </w:r>
    </w:p>
    <w:p w14:paraId="1D131C46" w14:textId="77777777" w:rsidR="00D9584A" w:rsidRPr="0053521F" w:rsidRDefault="00D9584A" w:rsidP="00D9584A">
      <w:pPr>
        <w:pStyle w:val="ListParagraph"/>
        <w:numPr>
          <w:ilvl w:val="1"/>
          <w:numId w:val="2"/>
        </w:numPr>
        <w:ind w:left="720"/>
        <w:rPr>
          <w:rFonts w:ascii="Arial" w:hAnsi="Arial" w:cs="Arial"/>
          <w:sz w:val="22"/>
          <w:szCs w:val="22"/>
        </w:rPr>
      </w:pPr>
      <w:r w:rsidRPr="0053521F">
        <w:rPr>
          <w:rFonts w:ascii="Arial" w:hAnsi="Arial" w:cs="Arial"/>
          <w:sz w:val="22"/>
          <w:szCs w:val="22"/>
        </w:rPr>
        <w:t>Prevent (Counter-Terrorism) Duty.</w:t>
      </w:r>
    </w:p>
    <w:p w14:paraId="01306500" w14:textId="77777777" w:rsidR="00D9584A" w:rsidRPr="0053521F" w:rsidRDefault="00D9584A" w:rsidP="00D9584A">
      <w:pPr>
        <w:rPr>
          <w:rFonts w:ascii="Arial" w:hAnsi="Arial" w:cs="Arial"/>
          <w:sz w:val="22"/>
          <w:szCs w:val="22"/>
        </w:rPr>
      </w:pPr>
    </w:p>
    <w:p w14:paraId="389F73FD" w14:textId="4BB51EE0" w:rsidR="00D9584A" w:rsidRDefault="0053521F" w:rsidP="00D9584A">
      <w:pPr>
        <w:rPr>
          <w:rFonts w:ascii="Arial" w:hAnsi="Arial" w:cs="Arial"/>
          <w:b/>
          <w:sz w:val="22"/>
          <w:szCs w:val="22"/>
          <w:u w:val="single"/>
        </w:rPr>
      </w:pPr>
      <w:r>
        <w:rPr>
          <w:rFonts w:ascii="Arial" w:hAnsi="Arial" w:cs="Arial"/>
          <w:b/>
          <w:sz w:val="22"/>
          <w:szCs w:val="22"/>
          <w:u w:val="single"/>
        </w:rPr>
        <w:t xml:space="preserve">Useful </w:t>
      </w:r>
      <w:r w:rsidR="00D9584A" w:rsidRPr="0053521F">
        <w:rPr>
          <w:rFonts w:ascii="Arial" w:hAnsi="Arial" w:cs="Arial"/>
          <w:b/>
          <w:sz w:val="22"/>
          <w:szCs w:val="22"/>
          <w:u w:val="single"/>
        </w:rPr>
        <w:t>Documents:</w:t>
      </w:r>
    </w:p>
    <w:p w14:paraId="7E6E44D9" w14:textId="77777777" w:rsidR="0053521F" w:rsidRPr="0053521F" w:rsidRDefault="0053521F" w:rsidP="00D9584A">
      <w:pPr>
        <w:rPr>
          <w:rFonts w:ascii="Arial" w:hAnsi="Arial" w:cs="Arial"/>
          <w:b/>
          <w:sz w:val="22"/>
          <w:szCs w:val="22"/>
          <w:u w:val="single"/>
        </w:rPr>
      </w:pPr>
    </w:p>
    <w:p w14:paraId="58317339" w14:textId="3D24FB43" w:rsidR="00D9584A" w:rsidRPr="0053521F" w:rsidRDefault="00000000" w:rsidP="00D9584A">
      <w:pPr>
        <w:rPr>
          <w:rFonts w:ascii="Arial" w:hAnsi="Arial" w:cs="Arial"/>
          <w:sz w:val="22"/>
          <w:szCs w:val="22"/>
        </w:rPr>
      </w:pPr>
      <w:hyperlink r:id="rId8" w:history="1">
        <w:r w:rsidR="00D9584A" w:rsidRPr="0053521F">
          <w:rPr>
            <w:rStyle w:val="Hyperlink"/>
            <w:rFonts w:ascii="Arial" w:hAnsi="Arial" w:cs="Arial"/>
            <w:sz w:val="22"/>
            <w:szCs w:val="22"/>
          </w:rPr>
          <w:t>Research Degree Regulations</w:t>
        </w:r>
      </w:hyperlink>
      <w:r w:rsidR="00D9584A" w:rsidRPr="0053521F">
        <w:rPr>
          <w:rFonts w:ascii="Arial" w:hAnsi="Arial" w:cs="Arial"/>
          <w:sz w:val="22"/>
          <w:szCs w:val="22"/>
        </w:rPr>
        <w:t>, including:</w:t>
      </w:r>
    </w:p>
    <w:p w14:paraId="7C1E2D7E" w14:textId="77777777" w:rsidR="00D9584A" w:rsidRPr="0053521F" w:rsidRDefault="00D9584A" w:rsidP="00D9584A">
      <w:pPr>
        <w:ind w:left="360"/>
        <w:rPr>
          <w:rFonts w:ascii="Arial" w:hAnsi="Arial" w:cs="Arial"/>
          <w:sz w:val="22"/>
          <w:szCs w:val="22"/>
        </w:rPr>
      </w:pPr>
      <w:r w:rsidRPr="0053521F">
        <w:rPr>
          <w:rFonts w:ascii="Arial" w:hAnsi="Arial" w:cs="Arial"/>
          <w:sz w:val="22"/>
          <w:szCs w:val="22"/>
        </w:rPr>
        <w:t>QAA Doctoral Characteristics (Appendix 1 of RD regulations)</w:t>
      </w:r>
    </w:p>
    <w:p w14:paraId="2CC4282C" w14:textId="77777777" w:rsidR="00D9584A" w:rsidRPr="0053521F" w:rsidRDefault="00D9584A" w:rsidP="00D9584A">
      <w:pPr>
        <w:ind w:left="360"/>
        <w:rPr>
          <w:rFonts w:ascii="Arial" w:hAnsi="Arial" w:cs="Arial"/>
          <w:sz w:val="22"/>
          <w:szCs w:val="22"/>
        </w:rPr>
      </w:pPr>
      <w:r w:rsidRPr="0053521F">
        <w:rPr>
          <w:rFonts w:ascii="Arial" w:hAnsi="Arial" w:cs="Arial"/>
          <w:sz w:val="22"/>
          <w:szCs w:val="22"/>
        </w:rPr>
        <w:t>Code of Practice for Supervisors and Research Students (Appendix 2 of RD Regulations)</w:t>
      </w:r>
    </w:p>
    <w:p w14:paraId="7C45DAF3" w14:textId="2D534CF2" w:rsidR="00D9584A" w:rsidRDefault="00000000" w:rsidP="00D9584A">
      <w:pPr>
        <w:rPr>
          <w:rStyle w:val="Hyperlink"/>
          <w:rFonts w:ascii="Arial" w:hAnsi="Arial" w:cs="Arial"/>
          <w:sz w:val="22"/>
          <w:szCs w:val="22"/>
        </w:rPr>
      </w:pPr>
      <w:hyperlink r:id="rId9" w:history="1">
        <w:r w:rsidR="00D9584A" w:rsidRPr="0053521F">
          <w:rPr>
            <w:rStyle w:val="Hyperlink"/>
            <w:rFonts w:ascii="Arial" w:hAnsi="Arial" w:cs="Arial"/>
            <w:sz w:val="22"/>
            <w:szCs w:val="22"/>
          </w:rPr>
          <w:t>Code of Practice for Research</w:t>
        </w:r>
      </w:hyperlink>
    </w:p>
    <w:p w14:paraId="0644E6B4" w14:textId="269C53BB" w:rsidR="007A0A55" w:rsidRDefault="007A0A55" w:rsidP="00D9584A">
      <w:pPr>
        <w:rPr>
          <w:rStyle w:val="Hyperlink"/>
          <w:rFonts w:ascii="Arial" w:hAnsi="Arial" w:cs="Arial"/>
          <w:sz w:val="22"/>
          <w:szCs w:val="22"/>
        </w:rPr>
      </w:pPr>
      <w:r>
        <w:rPr>
          <w:rStyle w:val="Hyperlink"/>
          <w:rFonts w:ascii="Arial" w:hAnsi="Arial" w:cs="Arial"/>
          <w:sz w:val="22"/>
          <w:szCs w:val="22"/>
        </w:rPr>
        <w:t xml:space="preserve">Exam panel </w:t>
      </w:r>
      <w:hyperlink r:id="rId10" w:history="1">
        <w:r w:rsidRPr="007A0A55">
          <w:rPr>
            <w:rStyle w:val="Hyperlink"/>
            <w:rFonts w:ascii="Arial" w:hAnsi="Arial" w:cs="Arial"/>
            <w:sz w:val="22"/>
            <w:szCs w:val="22"/>
          </w:rPr>
          <w:t>chair</w:t>
        </w:r>
      </w:hyperlink>
      <w:r>
        <w:rPr>
          <w:rStyle w:val="Hyperlink"/>
          <w:rFonts w:ascii="Arial" w:hAnsi="Arial" w:cs="Arial"/>
          <w:sz w:val="22"/>
          <w:szCs w:val="22"/>
        </w:rPr>
        <w:t xml:space="preserve"> aide memoire</w:t>
      </w:r>
    </w:p>
    <w:p w14:paraId="7B52F4F5" w14:textId="31477C66" w:rsidR="007A0A55" w:rsidRPr="0053521F" w:rsidRDefault="007A0A55" w:rsidP="00D9584A">
      <w:pPr>
        <w:rPr>
          <w:rFonts w:ascii="Arial" w:hAnsi="Arial" w:cs="Arial"/>
          <w:sz w:val="22"/>
          <w:szCs w:val="22"/>
        </w:rPr>
      </w:pPr>
      <w:r>
        <w:rPr>
          <w:rStyle w:val="Hyperlink"/>
          <w:rFonts w:ascii="Arial" w:hAnsi="Arial" w:cs="Arial"/>
          <w:sz w:val="22"/>
          <w:szCs w:val="22"/>
        </w:rPr>
        <w:t xml:space="preserve">Examination guidelines </w:t>
      </w:r>
      <w:hyperlink r:id="rId11" w:history="1">
        <w:r w:rsidRPr="007A0A55">
          <w:rPr>
            <w:rStyle w:val="Hyperlink"/>
            <w:rFonts w:ascii="Arial" w:hAnsi="Arial" w:cs="Arial"/>
            <w:sz w:val="22"/>
            <w:szCs w:val="22"/>
          </w:rPr>
          <w:t>for</w:t>
        </w:r>
      </w:hyperlink>
      <w:r>
        <w:rPr>
          <w:rStyle w:val="Hyperlink"/>
          <w:rFonts w:ascii="Arial" w:hAnsi="Arial" w:cs="Arial"/>
          <w:sz w:val="22"/>
          <w:szCs w:val="22"/>
        </w:rPr>
        <w:t xml:space="preserve"> research degrees</w:t>
      </w:r>
    </w:p>
    <w:p w14:paraId="1EED9A9C" w14:textId="6CEE4297" w:rsidR="00D9584A" w:rsidRPr="0053521F" w:rsidRDefault="00000000" w:rsidP="00D9584A">
      <w:pPr>
        <w:rPr>
          <w:rFonts w:ascii="Arial" w:hAnsi="Arial" w:cs="Arial"/>
          <w:sz w:val="22"/>
          <w:szCs w:val="22"/>
        </w:rPr>
      </w:pPr>
      <w:hyperlink r:id="rId12" w:history="1">
        <w:r w:rsidR="00D9584A" w:rsidRPr="0053521F">
          <w:rPr>
            <w:rStyle w:val="Hyperlink"/>
            <w:rFonts w:ascii="Arial" w:hAnsi="Arial" w:cs="Arial"/>
            <w:sz w:val="22"/>
            <w:szCs w:val="22"/>
          </w:rPr>
          <w:t>OU Thesis Submission Guidelines</w:t>
        </w:r>
      </w:hyperlink>
    </w:p>
    <w:p w14:paraId="1C510FBE" w14:textId="2AAF6ABF" w:rsidR="00D9584A" w:rsidRPr="008205A1" w:rsidRDefault="008205A1" w:rsidP="00D9584A">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"https://www.open.ac.uk/research/sites/www.open.ac.uk.research/files/files/Documents/procedure-for-research-malpractice.pdf" </w:instrText>
      </w:r>
      <w:r>
        <w:rPr>
          <w:rFonts w:ascii="Arial" w:hAnsi="Arial" w:cs="Arial"/>
          <w:sz w:val="22"/>
          <w:szCs w:val="22"/>
        </w:rPr>
      </w:r>
      <w:r>
        <w:rPr>
          <w:rFonts w:ascii="Arial" w:hAnsi="Arial" w:cs="Arial"/>
          <w:sz w:val="22"/>
          <w:szCs w:val="22"/>
        </w:rPr>
        <w:fldChar w:fldCharType="separate"/>
      </w:r>
      <w:r w:rsidR="00D9584A" w:rsidRPr="008205A1">
        <w:rPr>
          <w:rStyle w:val="Hyperlink"/>
          <w:rFonts w:ascii="Arial" w:hAnsi="Arial" w:cs="Arial"/>
          <w:sz w:val="22"/>
          <w:szCs w:val="22"/>
        </w:rPr>
        <w:t xml:space="preserve">Procedure for dealing with allegations of malpractice and </w:t>
      </w:r>
      <w:proofErr w:type="gramStart"/>
      <w:r w:rsidR="00D9584A" w:rsidRPr="008205A1">
        <w:rPr>
          <w:rStyle w:val="Hyperlink"/>
          <w:rFonts w:ascii="Arial" w:hAnsi="Arial" w:cs="Arial"/>
          <w:sz w:val="22"/>
          <w:szCs w:val="22"/>
        </w:rPr>
        <w:t>misconduct</w:t>
      </w:r>
      <w:proofErr w:type="gramEnd"/>
    </w:p>
    <w:p w14:paraId="1A4C3A56" w14:textId="3AC96BB3" w:rsidR="00A25824" w:rsidRPr="008205A1" w:rsidRDefault="008205A1" w:rsidP="00D9584A">
      <w:pPr>
        <w:rPr>
          <w:rFonts w:ascii="Arial" w:hAnsi="Arial" w:cs="Arial"/>
          <w:sz w:val="22"/>
          <w:szCs w:val="22"/>
        </w:rPr>
      </w:pPr>
      <w:r>
        <w:rPr>
          <w:rFonts w:ascii="Arial" w:hAnsi="Arial" w:cs="Arial"/>
          <w:sz w:val="22"/>
          <w:szCs w:val="22"/>
        </w:rPr>
        <w:fldChar w:fldCharType="end"/>
      </w:r>
      <w:hyperlink r:id="rId13" w:history="1">
        <w:r w:rsidR="00A25824" w:rsidRPr="008205A1">
          <w:rPr>
            <w:rStyle w:val="Hyperlink"/>
            <w:rFonts w:ascii="Arial" w:eastAsia="Arial" w:hAnsi="Arial" w:cs="Arial"/>
            <w:sz w:val="22"/>
            <w:szCs w:val="22"/>
          </w:rPr>
          <w:t>Plagiarism and Research Misconduct Policy: Postgraduate Research Students</w:t>
        </w:r>
      </w:hyperlink>
    </w:p>
    <w:p w14:paraId="6CD5A0EC" w14:textId="13F992D5" w:rsidR="00D9584A" w:rsidRPr="0053521F" w:rsidRDefault="00000000" w:rsidP="00D9584A">
      <w:pPr>
        <w:rPr>
          <w:rFonts w:ascii="Arial" w:hAnsi="Arial" w:cs="Arial"/>
          <w:sz w:val="22"/>
          <w:szCs w:val="22"/>
        </w:rPr>
      </w:pPr>
      <w:hyperlink r:id="rId14" w:history="1">
        <w:r w:rsidR="00D9584A" w:rsidRPr="0053521F">
          <w:rPr>
            <w:rStyle w:val="Hyperlink"/>
            <w:rFonts w:ascii="Arial" w:hAnsi="Arial" w:cs="Arial"/>
            <w:sz w:val="22"/>
            <w:szCs w:val="22"/>
          </w:rPr>
          <w:t>Code of Practice for Student Discipline</w:t>
        </w:r>
      </w:hyperlink>
    </w:p>
    <w:p w14:paraId="5A8B60B7" w14:textId="510952EE" w:rsidR="00D9584A" w:rsidRPr="0053521F" w:rsidRDefault="00000000" w:rsidP="00D9584A">
      <w:pPr>
        <w:rPr>
          <w:rFonts w:ascii="Arial" w:hAnsi="Arial" w:cs="Arial"/>
          <w:sz w:val="22"/>
          <w:szCs w:val="22"/>
        </w:rPr>
      </w:pPr>
      <w:hyperlink r:id="rId15" w:history="1">
        <w:r w:rsidR="008205A1">
          <w:rPr>
            <w:rStyle w:val="Hyperlink"/>
            <w:rFonts w:ascii="Arial" w:hAnsi="Arial" w:cs="Arial"/>
            <w:sz w:val="22"/>
            <w:szCs w:val="22"/>
          </w:rPr>
          <w:t>Dignity and Respect</w:t>
        </w:r>
        <w:r w:rsidR="00D9584A" w:rsidRPr="0053521F">
          <w:rPr>
            <w:rStyle w:val="Hyperlink"/>
            <w:rFonts w:ascii="Arial" w:hAnsi="Arial" w:cs="Arial"/>
            <w:sz w:val="22"/>
            <w:szCs w:val="22"/>
          </w:rPr>
          <w:t xml:space="preserve"> Policy</w:t>
        </w:r>
      </w:hyperlink>
    </w:p>
    <w:p w14:paraId="10222CD4" w14:textId="562F9B7C" w:rsidR="00D9584A" w:rsidRPr="0053521F" w:rsidRDefault="00000000">
      <w:pPr>
        <w:rPr>
          <w:rFonts w:ascii="Arial" w:hAnsi="Arial" w:cs="Arial"/>
          <w:sz w:val="22"/>
          <w:szCs w:val="22"/>
        </w:rPr>
      </w:pPr>
      <w:hyperlink r:id="rId16" w:history="1">
        <w:r w:rsidR="00D9584A" w:rsidRPr="0053521F">
          <w:rPr>
            <w:rStyle w:val="Hyperlink"/>
            <w:rFonts w:ascii="Arial" w:hAnsi="Arial" w:cs="Arial"/>
            <w:sz w:val="22"/>
            <w:szCs w:val="22"/>
          </w:rPr>
          <w:t>Appeals and Complaints Procedure</w:t>
        </w:r>
      </w:hyperlink>
    </w:p>
    <w:sectPr w:rsidR="00D9584A" w:rsidRPr="0053521F" w:rsidSect="002642B4">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A470" w14:textId="77777777" w:rsidR="0088335A" w:rsidRDefault="0088335A" w:rsidP="00E0065A">
      <w:r>
        <w:separator/>
      </w:r>
    </w:p>
  </w:endnote>
  <w:endnote w:type="continuationSeparator" w:id="0">
    <w:p w14:paraId="74DD7D05" w14:textId="77777777" w:rsidR="0088335A" w:rsidRDefault="0088335A" w:rsidP="00E0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610334"/>
      <w:docPartObj>
        <w:docPartGallery w:val="Page Numbers (Bottom of Page)"/>
        <w:docPartUnique/>
      </w:docPartObj>
    </w:sdtPr>
    <w:sdtEndPr>
      <w:rPr>
        <w:noProof/>
      </w:rPr>
    </w:sdtEndPr>
    <w:sdtContent>
      <w:p w14:paraId="4644EFFF" w14:textId="7436BEA0" w:rsidR="00E0065A" w:rsidRDefault="00E006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A67D4C" w14:textId="2476421E" w:rsidR="00E0065A" w:rsidRPr="00E0065A" w:rsidRDefault="00E0065A" w:rsidP="00E0065A">
    <w:pPr>
      <w:pStyle w:val="Footer"/>
      <w:tabs>
        <w:tab w:val="clear" w:pos="4513"/>
        <w:tab w:val="clear" w:pos="9026"/>
        <w:tab w:val="left" w:pos="7935"/>
      </w:tabs>
      <w:jc w:val="right"/>
      <w:rPr>
        <w:sz w:val="16"/>
      </w:rPr>
    </w:pPr>
    <w:r w:rsidRPr="00E0065A">
      <w:rPr>
        <w:sz w:val="16"/>
      </w:rPr>
      <w:t xml:space="preserve">Last Updated </w:t>
    </w:r>
    <w:r w:rsidR="008205A1">
      <w:rPr>
        <w:sz w:val="16"/>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C2F1" w14:textId="77777777" w:rsidR="0088335A" w:rsidRDefault="0088335A" w:rsidP="00E0065A">
      <w:r>
        <w:separator/>
      </w:r>
    </w:p>
  </w:footnote>
  <w:footnote w:type="continuationSeparator" w:id="0">
    <w:p w14:paraId="7BDCA40D" w14:textId="77777777" w:rsidR="0088335A" w:rsidRDefault="0088335A" w:rsidP="00E0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E1830"/>
    <w:multiLevelType w:val="hybridMultilevel"/>
    <w:tmpl w:val="5F2ED834"/>
    <w:lvl w:ilvl="0" w:tplc="04090001">
      <w:start w:val="1"/>
      <w:numFmt w:val="bullet"/>
      <w:lvlText w:val=""/>
      <w:lvlJc w:val="left"/>
      <w:pPr>
        <w:ind w:left="720" w:hanging="360"/>
      </w:pPr>
      <w:rPr>
        <w:rFonts w:ascii="Symbol" w:hAnsi="Symbol" w:hint="default"/>
      </w:rPr>
    </w:lvl>
    <w:lvl w:ilvl="1" w:tplc="2DAEBF18">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41A68"/>
    <w:multiLevelType w:val="hybridMultilevel"/>
    <w:tmpl w:val="61BE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83765">
    <w:abstractNumId w:val="1"/>
  </w:num>
  <w:num w:numId="2" w16cid:durableId="108457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4A"/>
    <w:rsid w:val="001F4FEA"/>
    <w:rsid w:val="002642B4"/>
    <w:rsid w:val="004D1BAF"/>
    <w:rsid w:val="00524293"/>
    <w:rsid w:val="0053521F"/>
    <w:rsid w:val="007A0A55"/>
    <w:rsid w:val="008205A1"/>
    <w:rsid w:val="0088335A"/>
    <w:rsid w:val="008B0A47"/>
    <w:rsid w:val="00A25824"/>
    <w:rsid w:val="00B46434"/>
    <w:rsid w:val="00B606B6"/>
    <w:rsid w:val="00C2576B"/>
    <w:rsid w:val="00D9584A"/>
    <w:rsid w:val="00DA4716"/>
    <w:rsid w:val="00E0065A"/>
    <w:rsid w:val="00E627AF"/>
    <w:rsid w:val="00F5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90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4A"/>
    <w:pPr>
      <w:ind w:left="720"/>
      <w:contextualSpacing/>
    </w:pPr>
    <w:rPr>
      <w:lang w:val="en-US"/>
    </w:rPr>
  </w:style>
  <w:style w:type="character" w:styleId="Hyperlink">
    <w:name w:val="Hyperlink"/>
    <w:basedOn w:val="DefaultParagraphFont"/>
    <w:uiPriority w:val="99"/>
    <w:unhideWhenUsed/>
    <w:rsid w:val="0053521F"/>
    <w:rPr>
      <w:color w:val="0563C1" w:themeColor="hyperlink"/>
      <w:u w:val="single"/>
    </w:rPr>
  </w:style>
  <w:style w:type="paragraph" w:styleId="Header">
    <w:name w:val="header"/>
    <w:basedOn w:val="Normal"/>
    <w:link w:val="HeaderChar"/>
    <w:uiPriority w:val="99"/>
    <w:unhideWhenUsed/>
    <w:rsid w:val="00E0065A"/>
    <w:pPr>
      <w:tabs>
        <w:tab w:val="center" w:pos="4513"/>
        <w:tab w:val="right" w:pos="9026"/>
      </w:tabs>
    </w:pPr>
  </w:style>
  <w:style w:type="character" w:customStyle="1" w:styleId="HeaderChar">
    <w:name w:val="Header Char"/>
    <w:basedOn w:val="DefaultParagraphFont"/>
    <w:link w:val="Header"/>
    <w:uiPriority w:val="99"/>
    <w:rsid w:val="00E0065A"/>
  </w:style>
  <w:style w:type="paragraph" w:styleId="Footer">
    <w:name w:val="footer"/>
    <w:basedOn w:val="Normal"/>
    <w:link w:val="FooterChar"/>
    <w:uiPriority w:val="99"/>
    <w:unhideWhenUsed/>
    <w:rsid w:val="00E0065A"/>
    <w:pPr>
      <w:tabs>
        <w:tab w:val="center" w:pos="4513"/>
        <w:tab w:val="right" w:pos="9026"/>
      </w:tabs>
    </w:pPr>
  </w:style>
  <w:style w:type="character" w:customStyle="1" w:styleId="FooterChar">
    <w:name w:val="Footer Char"/>
    <w:basedOn w:val="DefaultParagraphFont"/>
    <w:link w:val="Footer"/>
    <w:uiPriority w:val="99"/>
    <w:rsid w:val="00E0065A"/>
  </w:style>
  <w:style w:type="character" w:styleId="FollowedHyperlink">
    <w:name w:val="FollowedHyperlink"/>
    <w:basedOn w:val="DefaultParagraphFont"/>
    <w:uiPriority w:val="99"/>
    <w:semiHidden/>
    <w:unhideWhenUsed/>
    <w:rsid w:val="00A25824"/>
    <w:rPr>
      <w:color w:val="954F72" w:themeColor="followedHyperlink"/>
      <w:u w:val="single"/>
    </w:rPr>
  </w:style>
  <w:style w:type="character" w:styleId="UnresolvedMention">
    <w:name w:val="Unresolved Mention"/>
    <w:basedOn w:val="DefaultParagraphFont"/>
    <w:uiPriority w:val="99"/>
    <w:semiHidden/>
    <w:unhideWhenUsed/>
    <w:rsid w:val="00820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open.ac.uk/documents/policies/research-degree-regulations/files/7/research-degree-regulations.pdf" TargetMode="External"/><Relationship Id="rId13" Type="http://schemas.openxmlformats.org/officeDocument/2006/relationships/hyperlink" Target="https://www.open.ac.uk/students/research/system/files/documents/pgr-plagiarism-and-research-misconduct-policy-v1.1.pd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www.open.ac.uk/students/research/forms-and-guida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pen.ac.uk/students/charter/essential-documents/complaints-and-appeals-procedure"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5.open.ac.uk/students/research/forms-and-guidance/examination%20guidelines" TargetMode="External"/><Relationship Id="rId5" Type="http://schemas.openxmlformats.org/officeDocument/2006/relationships/footnotes" Target="footnotes.xml"/><Relationship Id="rId15" Type="http://schemas.openxmlformats.org/officeDocument/2006/relationships/hyperlink" Target="http://www.open.ac.uk/students/charter/sites/www.open.ac.uk.students.charter/files/files/dignity-respect-policy.pdf" TargetMode="External"/><Relationship Id="rId10" Type="http://schemas.openxmlformats.org/officeDocument/2006/relationships/hyperlink" Target="https://www5.open.ac.uk/students/research/forms-and-guidance/aide%20memoi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pen.ac.uk/research/sites/www.open.ac.uk.research/files/files/ecms/research-pr/web-content/Code-of-Practice-for-Research-at-The-Open-University-FINAL-for-the-external-research-website-July-2017.pdf" TargetMode="External"/><Relationship Id="rId14" Type="http://schemas.openxmlformats.org/officeDocument/2006/relationships/hyperlink" Target="http://www.open.ac.uk/students/charter/essential-documents/code-practice-student-discipline"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B35CE-92E2-4DEA-8DE7-C22AA72CF211}"/>
</file>

<file path=customXml/itemProps2.xml><?xml version="1.0" encoding="utf-8"?>
<ds:datastoreItem xmlns:ds="http://schemas.openxmlformats.org/officeDocument/2006/customXml" ds:itemID="{50729AC5-7777-499C-8F20-146428626F2B}"/>
</file>

<file path=customXml/itemProps3.xml><?xml version="1.0" encoding="utf-8"?>
<ds:datastoreItem xmlns:ds="http://schemas.openxmlformats.org/officeDocument/2006/customXml" ds:itemID="{0CDFBE95-FE90-4E48-B7C6-D320E9397959}"/>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Cameron.Tapley</cp:lastModifiedBy>
  <cp:revision>2</cp:revision>
  <dcterms:created xsi:type="dcterms:W3CDTF">2024-06-25T10:19:00Z</dcterms:created>
  <dcterms:modified xsi:type="dcterms:W3CDTF">2024-06-25T10:19:00Z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