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021D" w14:textId="082F1D09" w:rsidR="001D0E6E" w:rsidRPr="001D0E6E" w:rsidRDefault="001D0E6E" w:rsidP="60F3AD4D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50"/>
      </w:tblGrid>
      <w:tr w:rsidR="4D19E7E2" w14:paraId="6B15A597" w14:textId="77777777" w:rsidTr="60F3AD4D">
        <w:trPr>
          <w:trHeight w:val="300"/>
        </w:trPr>
        <w:tc>
          <w:tcPr>
            <w:tcW w:w="22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06D75F90" w14:textId="09BA9A5D" w:rsidR="4D19E7E2" w:rsidRDefault="4D19E7E2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r w:rsidRPr="4D19E7E2">
              <w:rPr>
                <w:rFonts w:ascii="Calibri" w:eastAsia="Calibri" w:hAnsi="Calibri" w:cs="Calibri"/>
                <w:b/>
                <w:bCs/>
              </w:rPr>
              <w:t>Supervisor name</w:t>
            </w:r>
          </w:p>
        </w:tc>
        <w:tc>
          <w:tcPr>
            <w:tcW w:w="67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2375DD4" w14:textId="1F41F7BC" w:rsidR="4D19E7E2" w:rsidRDefault="006D476D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Holliman</w:t>
            </w:r>
          </w:p>
        </w:tc>
      </w:tr>
      <w:tr w:rsidR="4D19E7E2" w14:paraId="7305CFC5" w14:textId="77777777" w:rsidTr="60F3AD4D">
        <w:trPr>
          <w:trHeight w:val="300"/>
        </w:trPr>
        <w:tc>
          <w:tcPr>
            <w:tcW w:w="22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ACF9A15" w14:textId="457FD4F0" w:rsidR="4D19E7E2" w:rsidRDefault="4D19E7E2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r w:rsidRPr="4D19E7E2">
              <w:rPr>
                <w:rFonts w:ascii="Calibri" w:eastAsia="Calibri" w:hAnsi="Calibri" w:cs="Calibri"/>
                <w:b/>
                <w:bCs/>
              </w:rPr>
              <w:t>Supervisor email address</w:t>
            </w:r>
          </w:p>
        </w:tc>
        <w:tc>
          <w:tcPr>
            <w:tcW w:w="67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054BE64" w14:textId="2FF06838" w:rsidR="4D19E7E2" w:rsidRDefault="006D476D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hyperlink r:id="rId11" w:history="1">
              <w:r w:rsidRPr="00974E70">
                <w:rPr>
                  <w:rStyle w:val="Hyperlink"/>
                  <w:rFonts w:ascii="Calibri" w:eastAsia="Calibri" w:hAnsi="Calibri" w:cs="Calibri"/>
                </w:rPr>
                <w:t>Richard.Holliman@open.ac.uk</w:t>
              </w:r>
            </w:hyperlink>
          </w:p>
        </w:tc>
      </w:tr>
      <w:tr w:rsidR="4D19E7E2" w14:paraId="116E4D13" w14:textId="77777777" w:rsidTr="60F3AD4D">
        <w:trPr>
          <w:trHeight w:val="300"/>
        </w:trPr>
        <w:tc>
          <w:tcPr>
            <w:tcW w:w="22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0F6C2D1" w14:textId="4EA079E0" w:rsidR="4D19E7E2" w:rsidRDefault="4D19E7E2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r w:rsidRPr="4D19E7E2">
              <w:rPr>
                <w:rFonts w:ascii="Calibri" w:eastAsia="Calibri" w:hAnsi="Calibri" w:cs="Calibri"/>
                <w:b/>
                <w:bCs/>
              </w:rPr>
              <w:t xml:space="preserve">Project Title </w:t>
            </w:r>
          </w:p>
        </w:tc>
        <w:tc>
          <w:tcPr>
            <w:tcW w:w="6750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92E9DFC" w14:textId="7B9405B5" w:rsidR="4D19E7E2" w:rsidRDefault="00CA639D" w:rsidP="4D19E7E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t xml:space="preserve">Exploring the influence of access to nature </w:t>
            </w:r>
            <w:r w:rsidRPr="00A025F8">
              <w:t>to diversify participation</w:t>
            </w:r>
            <w:r>
              <w:t xml:space="preserve"> </w:t>
            </w:r>
            <w:r w:rsidRPr="00A025F8">
              <w:t>in Earth and environmental science</w:t>
            </w:r>
            <w:r>
              <w:t>s and improve health and well-being for minoritized citizens.</w:t>
            </w:r>
          </w:p>
        </w:tc>
      </w:tr>
    </w:tbl>
    <w:p w14:paraId="7D2FD3BD" w14:textId="06EE8476" w:rsidR="4D19E7E2" w:rsidRDefault="4D19E7E2" w:rsidP="4D19E7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D0E6E" w14:paraId="7CB158E5" w14:textId="77777777" w:rsidTr="2291031B">
        <w:tc>
          <w:tcPr>
            <w:tcW w:w="2263" w:type="dxa"/>
          </w:tcPr>
          <w:p w14:paraId="5E390CB6" w14:textId="77777777" w:rsidR="001D0E6E" w:rsidRPr="00536730" w:rsidRDefault="008515C0">
            <w:pPr>
              <w:rPr>
                <w:b/>
              </w:rPr>
            </w:pPr>
            <w:r>
              <w:rPr>
                <w:b/>
              </w:rPr>
              <w:t>Project T</w:t>
            </w:r>
            <w:r w:rsidR="001D0E6E" w:rsidRPr="00536730">
              <w:rPr>
                <w:b/>
              </w:rPr>
              <w:t xml:space="preserve">itle </w:t>
            </w:r>
          </w:p>
        </w:tc>
        <w:tc>
          <w:tcPr>
            <w:tcW w:w="6753" w:type="dxa"/>
          </w:tcPr>
          <w:p w14:paraId="4DA98DCA" w14:textId="06E7E4BE" w:rsidR="0060301D" w:rsidRDefault="00CA639D">
            <w:r>
              <w:t xml:space="preserve">Exploring the influence of access to nature </w:t>
            </w:r>
            <w:r w:rsidRPr="00A025F8">
              <w:t>to diversify participation</w:t>
            </w:r>
            <w:r>
              <w:t xml:space="preserve"> </w:t>
            </w:r>
            <w:r w:rsidRPr="00A025F8">
              <w:t>in Earth and environmental science</w:t>
            </w:r>
            <w:r>
              <w:t>s and improve health and well-being for minoritized citizens.</w:t>
            </w:r>
          </w:p>
        </w:tc>
      </w:tr>
      <w:tr w:rsidR="001D0E6E" w14:paraId="533D2E68" w14:textId="77777777" w:rsidTr="2291031B">
        <w:trPr>
          <w:trHeight w:val="473"/>
        </w:trPr>
        <w:tc>
          <w:tcPr>
            <w:tcW w:w="2263" w:type="dxa"/>
          </w:tcPr>
          <w:p w14:paraId="3AAC3337" w14:textId="1A64223B" w:rsidR="001D0E6E" w:rsidRPr="00536730" w:rsidRDefault="2501A2B7" w:rsidP="58DFACFF">
            <w:pPr>
              <w:rPr>
                <w:b/>
                <w:bCs/>
              </w:rPr>
            </w:pPr>
            <w:r w:rsidRPr="2291031B">
              <w:rPr>
                <w:b/>
                <w:bCs/>
              </w:rPr>
              <w:t xml:space="preserve">University </w:t>
            </w:r>
            <w:r w:rsidR="2F08C5E5" w:rsidRPr="2291031B">
              <w:rPr>
                <w:b/>
                <w:bCs/>
              </w:rPr>
              <w:t>[</w:t>
            </w:r>
            <w:r w:rsidR="22DA3459" w:rsidRPr="2291031B">
              <w:rPr>
                <w:b/>
                <w:bCs/>
              </w:rPr>
              <w:t xml:space="preserve">where </w:t>
            </w:r>
            <w:r w:rsidR="602F87EF" w:rsidRPr="2291031B">
              <w:rPr>
                <w:b/>
                <w:bCs/>
              </w:rPr>
              <w:t>doctoral researcher (</w:t>
            </w:r>
            <w:r w:rsidR="6B54D310" w:rsidRPr="2291031B">
              <w:rPr>
                <w:b/>
                <w:bCs/>
              </w:rPr>
              <w:t>DR</w:t>
            </w:r>
            <w:r w:rsidR="6BD07AFB" w:rsidRPr="2291031B">
              <w:rPr>
                <w:b/>
                <w:bCs/>
              </w:rPr>
              <w:t>)</w:t>
            </w:r>
            <w:r w:rsidR="00E11B26" w:rsidRPr="2291031B">
              <w:rPr>
                <w:b/>
                <w:bCs/>
              </w:rPr>
              <w:t xml:space="preserve"> </w:t>
            </w:r>
            <w:r w:rsidR="22DA3459" w:rsidRPr="2291031B">
              <w:rPr>
                <w:b/>
                <w:bCs/>
              </w:rPr>
              <w:t>will</w:t>
            </w:r>
            <w:r w:rsidR="00E11B26" w:rsidRPr="2291031B">
              <w:rPr>
                <w:b/>
                <w:bCs/>
              </w:rPr>
              <w:t xml:space="preserve"> register</w:t>
            </w:r>
            <w:r w:rsidR="228CA8F1" w:rsidRPr="2291031B">
              <w:rPr>
                <w:b/>
                <w:bCs/>
              </w:rPr>
              <w:t>]</w:t>
            </w:r>
            <w:r w:rsidR="00E11B26" w:rsidRPr="2291031B">
              <w:rPr>
                <w:b/>
                <w:bCs/>
              </w:rPr>
              <w:t xml:space="preserve"> </w:t>
            </w:r>
          </w:p>
        </w:tc>
        <w:sdt>
          <w:sdtPr>
            <w:rPr>
              <w:rStyle w:val="Style1"/>
            </w:rPr>
            <w:alias w:val="Please select "/>
            <w:tag w:val="Please select "/>
            <w:id w:val="1271201321"/>
            <w:placeholder>
              <w:docPart w:val="2B93776A658547CAA789A6F5B9F3FF11"/>
            </w:placeholder>
            <w:dropDownList>
              <w:listItem w:value="Select institution "/>
              <w:listItem w:displayText="University of Birmingham " w:value="University of Birmingham "/>
              <w:listItem w:displayText="University of Leicester" w:value="University of Leicester"/>
              <w:listItem w:displayText="University of Warwick " w:value="University of Warwick "/>
              <w:listItem w:displayText="Loughborough University " w:value="Loughborough University "/>
              <w:listItem w:displayText="Cranfield University " w:value="Cranfield University "/>
              <w:listItem w:displayText="The Open University" w:value="The Open University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6753" w:type="dxa"/>
              </w:tcPr>
              <w:p w14:paraId="7B359FB7" w14:textId="04A5F1AC" w:rsidR="0060301D" w:rsidRDefault="00CA639D" w:rsidP="0060301D">
                <w:r>
                  <w:rPr>
                    <w:rStyle w:val="Style1"/>
                  </w:rPr>
                  <w:t>The Open University</w:t>
                </w:r>
              </w:p>
            </w:tc>
          </w:sdtContent>
        </w:sdt>
      </w:tr>
      <w:tr w:rsidR="004B6D92" w14:paraId="69586280" w14:textId="77777777" w:rsidTr="2291031B">
        <w:trPr>
          <w:trHeight w:val="473"/>
        </w:trPr>
        <w:tc>
          <w:tcPr>
            <w:tcW w:w="2263" w:type="dxa"/>
          </w:tcPr>
          <w:p w14:paraId="6D2A4098" w14:textId="435B2E8A" w:rsidR="004B6D92" w:rsidRPr="001D2ACA" w:rsidRDefault="42F0CEEF" w:rsidP="58DFACFF">
            <w:pPr>
              <w:rPr>
                <w:b/>
                <w:bCs/>
              </w:rPr>
            </w:pPr>
            <w:r w:rsidRPr="58DFACFF">
              <w:rPr>
                <w:b/>
                <w:bCs/>
              </w:rPr>
              <w:t xml:space="preserve">Which institution will the </w:t>
            </w:r>
            <w:r w:rsidR="396F7B23" w:rsidRPr="58DFACFF">
              <w:rPr>
                <w:b/>
                <w:bCs/>
              </w:rPr>
              <w:t>DR</w:t>
            </w:r>
            <w:r w:rsidRPr="58DFACFF">
              <w:rPr>
                <w:b/>
                <w:bCs/>
              </w:rPr>
              <w:t xml:space="preserve"> be based at?</w:t>
            </w:r>
          </w:p>
        </w:tc>
        <w:tc>
          <w:tcPr>
            <w:tcW w:w="6753" w:type="dxa"/>
          </w:tcPr>
          <w:sdt>
            <w:sdtPr>
              <w:rPr>
                <w:rStyle w:val="Style1"/>
              </w:rPr>
              <w:alias w:val="Please select "/>
              <w:tag w:val="Please select "/>
              <w:id w:val="-1637475640"/>
              <w:placeholder>
                <w:docPart w:val="C2FAC592AEC145328233F7A076796E01"/>
              </w:placeholder>
              <w:dropDownList>
                <w:listItem w:value="Select institution "/>
                <w:listItem w:displayText="As above" w:value="As above"/>
                <w:listItem w:displayText="British Geological Survey" w:value="British Geological Survey"/>
                <w:listItem w:displayText="UK Centre for Ecology &amp; Hydrology" w:value="UK Centre for Ecology &amp; Hydrology"/>
                <w:listItem w:displayText="National Centre for Earth Observation" w:value="National Centre for Earth Observation"/>
                <w:listItem w:displayText="Other" w:value="Other"/>
              </w:dropDownList>
            </w:sdtPr>
            <w:sdtEndPr>
              <w:rPr>
                <w:rStyle w:val="DefaultParagraphFont"/>
              </w:rPr>
            </w:sdtEndPr>
            <w:sdtContent>
              <w:p w14:paraId="08FCE7E1" w14:textId="23AF9BB1" w:rsidR="004B6D92" w:rsidRDefault="00CA639D" w:rsidP="00F01B4F">
                <w:pPr>
                  <w:rPr>
                    <w:rStyle w:val="Style1"/>
                  </w:rPr>
                </w:pPr>
                <w:r>
                  <w:rPr>
                    <w:rStyle w:val="Style1"/>
                  </w:rPr>
                  <w:t>As above</w:t>
                </w:r>
              </w:p>
            </w:sdtContent>
          </w:sdt>
          <w:p w14:paraId="79B6044E" w14:textId="77777777" w:rsidR="5EEC1B09" w:rsidRDefault="5EEC1B09"/>
        </w:tc>
      </w:tr>
      <w:tr w:rsidR="005C5FFC" w14:paraId="14428A6F" w14:textId="77777777" w:rsidTr="2291031B">
        <w:trPr>
          <w:trHeight w:val="473"/>
        </w:trPr>
        <w:tc>
          <w:tcPr>
            <w:tcW w:w="2263" w:type="dxa"/>
          </w:tcPr>
          <w:p w14:paraId="18EDE4B0" w14:textId="7F8646D9" w:rsidR="005C5FFC" w:rsidRPr="001D2ACA" w:rsidRDefault="005C5FFC" w:rsidP="5F5DDE84">
            <w:pPr>
              <w:rPr>
                <w:b/>
                <w:bCs/>
              </w:rPr>
            </w:pPr>
            <w:r w:rsidRPr="5F5DDE84">
              <w:rPr>
                <w:b/>
                <w:bCs/>
              </w:rPr>
              <w:t xml:space="preserve">If </w:t>
            </w:r>
            <w:r w:rsidR="0364F119" w:rsidRPr="5F5DDE84">
              <w:rPr>
                <w:b/>
                <w:bCs/>
              </w:rPr>
              <w:t>‘</w:t>
            </w:r>
            <w:r w:rsidRPr="5F5DDE84">
              <w:rPr>
                <w:b/>
                <w:bCs/>
              </w:rPr>
              <w:t>other</w:t>
            </w:r>
            <w:r w:rsidR="02912EB9" w:rsidRPr="5F5DDE84">
              <w:rPr>
                <w:b/>
                <w:bCs/>
              </w:rPr>
              <w:t>’</w:t>
            </w:r>
            <w:r w:rsidR="5B657791" w:rsidRPr="5F5DDE84">
              <w:rPr>
                <w:b/>
                <w:bCs/>
              </w:rPr>
              <w:t>,</w:t>
            </w:r>
            <w:r w:rsidRPr="5F5DDE84">
              <w:rPr>
                <w:b/>
                <w:bCs/>
              </w:rPr>
              <w:t xml:space="preserve"> </w:t>
            </w:r>
            <w:r w:rsidR="005A4AAA" w:rsidRPr="5F5DDE84">
              <w:rPr>
                <w:b/>
                <w:bCs/>
              </w:rPr>
              <w:t>please add institution here</w:t>
            </w:r>
          </w:p>
        </w:tc>
        <w:tc>
          <w:tcPr>
            <w:tcW w:w="6753" w:type="dxa"/>
          </w:tcPr>
          <w:p w14:paraId="796AE0E4" w14:textId="538AFEF9" w:rsidR="005C5FFC" w:rsidRDefault="00CA639D" w:rsidP="00F01B4F">
            <w:pPr>
              <w:rPr>
                <w:rStyle w:val="Style1"/>
              </w:rPr>
            </w:pPr>
            <w:r>
              <w:rPr>
                <w:rStyle w:val="Style1"/>
              </w:rPr>
              <w:t>N/A</w:t>
            </w:r>
          </w:p>
        </w:tc>
      </w:tr>
      <w:tr w:rsidR="001D0E6E" w14:paraId="36AA8D3A" w14:textId="77777777" w:rsidTr="2291031B">
        <w:tc>
          <w:tcPr>
            <w:tcW w:w="2263" w:type="dxa"/>
          </w:tcPr>
          <w:p w14:paraId="7EC7B870" w14:textId="77777777" w:rsidR="001D0E6E" w:rsidRPr="00536730" w:rsidRDefault="001D0E6E">
            <w:pPr>
              <w:rPr>
                <w:b/>
              </w:rPr>
            </w:pPr>
            <w:r w:rsidRPr="00536730">
              <w:rPr>
                <w:b/>
              </w:rPr>
              <w:t xml:space="preserve">Theme </w:t>
            </w:r>
          </w:p>
          <w:p w14:paraId="4EFBAF20" w14:textId="77777777" w:rsidR="001D0E6E" w:rsidRPr="00536730" w:rsidRDefault="001D0E6E">
            <w:pPr>
              <w:rPr>
                <w:b/>
              </w:rPr>
            </w:pPr>
            <w:r w:rsidRPr="00536730">
              <w:rPr>
                <w:b/>
              </w:rPr>
              <w:t xml:space="preserve">(Max. 2 selections) </w:t>
            </w:r>
          </w:p>
        </w:tc>
        <w:tc>
          <w:tcPr>
            <w:tcW w:w="6753" w:type="dxa"/>
          </w:tcPr>
          <w:p w14:paraId="287A4401" w14:textId="2287297B" w:rsidR="001D0E6E" w:rsidRDefault="003201EE" w:rsidP="008A0FD1">
            <w:r w:rsidRPr="00E11B26">
              <w:rPr>
                <w:color w:val="0070C0"/>
              </w:rPr>
              <w:t>Climate &amp; Environmental Sustainability</w:t>
            </w:r>
            <w:r w:rsidR="001D0E6E" w:rsidRPr="00E11B26">
              <w:rPr>
                <w:color w:val="0070C0"/>
              </w:rPr>
              <w:t xml:space="preserve">   </w:t>
            </w:r>
            <w:sdt>
              <w:sdtPr>
                <w:id w:val="-2106726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0AEC" w:rsidRPr="001F0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58FAAFC" w14:textId="12731E2A" w:rsidR="001D0E6E" w:rsidRDefault="001D0E6E" w:rsidP="001D0E6E">
            <w:r w:rsidRPr="00E11B26">
              <w:rPr>
                <w:color w:val="538135" w:themeColor="accent6" w:themeShade="BF"/>
              </w:rPr>
              <w:t xml:space="preserve">Organisms &amp; Ecosystems                            </w:t>
            </w:r>
            <w:sdt>
              <w:sdtPr>
                <w:rPr>
                  <w:color w:val="2B579A"/>
                  <w:shd w:val="clear" w:color="auto" w:fill="E6E6E6"/>
                </w:rPr>
                <w:id w:val="17884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39F7079" w14:textId="1572CC49" w:rsidR="001D0E6E" w:rsidRDefault="001D0E6E" w:rsidP="001D0E6E">
            <w:r w:rsidRPr="00E11B26">
              <w:rPr>
                <w:color w:val="C45911" w:themeColor="accent2" w:themeShade="BF"/>
              </w:rPr>
              <w:t xml:space="preserve">Dynamic Earth                                               </w:t>
            </w:r>
            <w:sdt>
              <w:sdtPr>
                <w:id w:val="1511265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0AEC" w:rsidRPr="001F0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D0E6E" w14:paraId="253E23DC" w14:textId="77777777" w:rsidTr="2291031B">
        <w:tc>
          <w:tcPr>
            <w:tcW w:w="2263" w:type="dxa"/>
          </w:tcPr>
          <w:p w14:paraId="47F8B78C" w14:textId="1B84ABEA" w:rsidR="001D0E6E" w:rsidRPr="00536730" w:rsidRDefault="55C589FF" w:rsidP="50B36AC8">
            <w:pPr>
              <w:rPr>
                <w:b/>
                <w:bCs/>
              </w:rPr>
            </w:pPr>
            <w:r w:rsidRPr="58DFACFF">
              <w:rPr>
                <w:b/>
                <w:bCs/>
              </w:rPr>
              <w:t xml:space="preserve">Key words </w:t>
            </w:r>
            <w:r w:rsidR="62F839D6" w:rsidRPr="58DFACFF">
              <w:rPr>
                <w:b/>
                <w:bCs/>
              </w:rPr>
              <w:t>(</w:t>
            </w:r>
            <w:r w:rsidR="2154D15D" w:rsidRPr="58DFACFF">
              <w:rPr>
                <w:b/>
                <w:bCs/>
              </w:rPr>
              <w:t>required, must</w:t>
            </w:r>
            <w:r w:rsidR="62F839D6" w:rsidRPr="58DFACFF">
              <w:rPr>
                <w:b/>
                <w:bCs/>
              </w:rPr>
              <w:t xml:space="preserve"> be separated by a comma)</w:t>
            </w:r>
          </w:p>
        </w:tc>
        <w:tc>
          <w:tcPr>
            <w:tcW w:w="6753" w:type="dxa"/>
          </w:tcPr>
          <w:p w14:paraId="2BA648A8" w14:textId="3F354232" w:rsidR="001D0E6E" w:rsidRDefault="001F0AEC">
            <w:r>
              <w:t xml:space="preserve">Environment, Geology, Ecology, Equity, Diversity, Health and Well-being, Inclusive Leadership, </w:t>
            </w:r>
            <w:proofErr w:type="gramStart"/>
            <w:r>
              <w:t>Engaged</w:t>
            </w:r>
            <w:proofErr w:type="gramEnd"/>
            <w:r>
              <w:t xml:space="preserve"> research, Fairness in knowing</w:t>
            </w:r>
          </w:p>
        </w:tc>
      </w:tr>
      <w:tr w:rsidR="5EEC1B09" w14:paraId="0CCC2AD2" w14:textId="77777777" w:rsidTr="2291031B">
        <w:trPr>
          <w:trHeight w:val="300"/>
        </w:trPr>
        <w:tc>
          <w:tcPr>
            <w:tcW w:w="2263" w:type="dxa"/>
            <w:shd w:val="clear" w:color="auto" w:fill="FFF2CC" w:themeFill="accent4" w:themeFillTint="33"/>
          </w:tcPr>
          <w:p w14:paraId="5DB9DB5C" w14:textId="22D1F130" w:rsidR="1BA5C731" w:rsidRDefault="1B0D3A4B" w:rsidP="5EEC1B09">
            <w:pPr>
              <w:rPr>
                <w:b/>
                <w:bCs/>
              </w:rPr>
            </w:pPr>
            <w:r w:rsidRPr="60F3AD4D">
              <w:rPr>
                <w:b/>
                <w:bCs/>
              </w:rPr>
              <w:t>Please explain how the project fits within the NERC remit</w:t>
            </w:r>
            <w:r w:rsidR="36D4FCEF" w:rsidRPr="60F3AD4D">
              <w:rPr>
                <w:b/>
                <w:bCs/>
              </w:rPr>
              <w:t xml:space="preserve"> </w:t>
            </w:r>
            <w:r w:rsidR="36D4FCEF">
              <w:t>(office use only)</w:t>
            </w:r>
          </w:p>
        </w:tc>
        <w:tc>
          <w:tcPr>
            <w:tcW w:w="6753" w:type="dxa"/>
            <w:shd w:val="clear" w:color="auto" w:fill="FFF2CC" w:themeFill="accent4" w:themeFillTint="33"/>
          </w:tcPr>
          <w:p w14:paraId="48D5E1AF" w14:textId="03E4E6E2" w:rsidR="5EEC1B09" w:rsidRDefault="001F0AEC" w:rsidP="5EEC1B09">
            <w:r>
              <w:t xml:space="preserve">This project connects with NERC’s remit, “Medical and health interface: Environment and health”, in the context of ecosystem services and the environment, particularly in relation to </w:t>
            </w:r>
            <w:r w:rsidRPr="00595C3D">
              <w:t>human wellbeing and quality of</w:t>
            </w:r>
            <w:r>
              <w:t xml:space="preserve"> life.</w:t>
            </w:r>
            <w:r w:rsidR="00451E29">
              <w:t xml:space="preserve"> We may also address geosystem services, depending on the student’s interests and expertise.</w:t>
            </w:r>
          </w:p>
        </w:tc>
      </w:tr>
      <w:tr w:rsidR="001D0E6E" w14:paraId="6A359213" w14:textId="77777777" w:rsidTr="2291031B">
        <w:trPr>
          <w:trHeight w:val="934"/>
        </w:trPr>
        <w:tc>
          <w:tcPr>
            <w:tcW w:w="2263" w:type="dxa"/>
          </w:tcPr>
          <w:p w14:paraId="5BF265B1" w14:textId="77777777" w:rsidR="001D0E6E" w:rsidRPr="00536730" w:rsidRDefault="001D0E6E">
            <w:pPr>
              <w:rPr>
                <w:b/>
              </w:rPr>
            </w:pPr>
            <w:r w:rsidRPr="00536730">
              <w:rPr>
                <w:b/>
              </w:rPr>
              <w:t xml:space="preserve">Supervisory team (including institution &amp; email address </w:t>
            </w:r>
          </w:p>
        </w:tc>
        <w:tc>
          <w:tcPr>
            <w:tcW w:w="6753" w:type="dxa"/>
          </w:tcPr>
          <w:p w14:paraId="4D3C54ED" w14:textId="77777777" w:rsidR="001F0AEC" w:rsidRPr="003201EE" w:rsidRDefault="001F0AEC" w:rsidP="001F0AEC">
            <w:pPr>
              <w:rPr>
                <w:b/>
              </w:rPr>
            </w:pPr>
            <w:r w:rsidRPr="003201EE">
              <w:rPr>
                <w:b/>
              </w:rPr>
              <w:t>PI</w:t>
            </w:r>
            <w:r w:rsidRPr="004115BF">
              <w:rPr>
                <w:bCs/>
              </w:rPr>
              <w:t>: Professor Richard Holliman</w:t>
            </w:r>
            <w:r>
              <w:rPr>
                <w:bCs/>
              </w:rPr>
              <w:t>, OU;</w:t>
            </w:r>
            <w:r w:rsidRPr="004115BF">
              <w:rPr>
                <w:bCs/>
              </w:rPr>
              <w:t xml:space="preserve"> </w:t>
            </w:r>
            <w:hyperlink r:id="rId12" w:history="1">
              <w:r w:rsidRPr="004115BF">
                <w:rPr>
                  <w:rStyle w:val="Hyperlink"/>
                  <w:bCs/>
                </w:rPr>
                <w:t>Richard.Holliman@open.ac.uk</w:t>
              </w:r>
            </w:hyperlink>
            <w:r w:rsidRPr="004E16C8">
              <w:rPr>
                <w:bCs/>
              </w:rPr>
              <w:t xml:space="preserve"> </w:t>
            </w:r>
          </w:p>
          <w:p w14:paraId="1E92EF34" w14:textId="77777777" w:rsidR="001F0AEC" w:rsidRPr="004115BF" w:rsidRDefault="001F0AEC" w:rsidP="001F0AEC">
            <w:pPr>
              <w:rPr>
                <w:b/>
              </w:rPr>
            </w:pPr>
            <w:r w:rsidRPr="003201EE">
              <w:rPr>
                <w:b/>
              </w:rPr>
              <w:t>Co-I</w:t>
            </w:r>
            <w:r w:rsidRPr="004115BF">
              <w:rPr>
                <w:bCs/>
              </w:rPr>
              <w:t xml:space="preserve">: </w:t>
            </w:r>
            <w:r>
              <w:rPr>
                <w:bCs/>
              </w:rPr>
              <w:t xml:space="preserve">Dr Marcus Badger, OU; </w:t>
            </w:r>
            <w:hyperlink r:id="rId13" w:history="1">
              <w:r w:rsidRPr="00924EE7">
                <w:rPr>
                  <w:rStyle w:val="Hyperlink"/>
                  <w:bCs/>
                </w:rPr>
                <w:t>Marcus.Badger@open.ac.uk</w:t>
              </w:r>
            </w:hyperlink>
            <w:r>
              <w:rPr>
                <w:bCs/>
              </w:rPr>
              <w:t xml:space="preserve"> </w:t>
            </w:r>
          </w:p>
          <w:p w14:paraId="05EF4EF9" w14:textId="77777777" w:rsidR="001F0AEC" w:rsidRDefault="001F0AEC" w:rsidP="001F0AEC">
            <w:pPr>
              <w:rPr>
                <w:bCs/>
              </w:rPr>
            </w:pPr>
            <w:r w:rsidRPr="003201EE">
              <w:rPr>
                <w:b/>
              </w:rPr>
              <w:t>Co-I</w:t>
            </w:r>
            <w:r w:rsidRPr="004115BF">
              <w:rPr>
                <w:bCs/>
              </w:rPr>
              <w:t>:</w:t>
            </w:r>
            <w:r>
              <w:rPr>
                <w:bCs/>
              </w:rPr>
              <w:t xml:space="preserve"> Dr Anjana Khatwa, OU Visiting Fellow; </w:t>
            </w:r>
            <w:hyperlink r:id="rId14" w:history="1">
              <w:r w:rsidRPr="00924EE7">
                <w:rPr>
                  <w:rStyle w:val="Hyperlink"/>
                  <w:bCs/>
                </w:rPr>
                <w:t>glaciergirl@gmail.com</w:t>
              </w:r>
            </w:hyperlink>
            <w:r>
              <w:rPr>
                <w:bCs/>
              </w:rPr>
              <w:t xml:space="preserve"> </w:t>
            </w:r>
          </w:p>
          <w:p w14:paraId="71F8A096" w14:textId="48B558F5" w:rsidR="003201EE" w:rsidRPr="003201EE" w:rsidRDefault="001F0AEC" w:rsidP="001F0AEC">
            <w:pPr>
              <w:rPr>
                <w:b/>
              </w:rPr>
            </w:pPr>
            <w:r w:rsidRPr="003201EE">
              <w:rPr>
                <w:b/>
              </w:rPr>
              <w:t>Co-I</w:t>
            </w:r>
            <w:r w:rsidRPr="004115BF">
              <w:rPr>
                <w:bCs/>
              </w:rPr>
              <w:t>:</w:t>
            </w:r>
            <w:r>
              <w:rPr>
                <w:bCs/>
              </w:rPr>
              <w:t xml:space="preserve"> Dr Yoseph Araya, OU; </w:t>
            </w:r>
            <w:hyperlink r:id="rId15" w:history="1">
              <w:r w:rsidRPr="00081283">
                <w:rPr>
                  <w:rStyle w:val="Hyperlink"/>
                  <w:bCs/>
                </w:rPr>
                <w:t>Yoseph.Araya@open.ac.uk</w:t>
              </w:r>
            </w:hyperlink>
          </w:p>
        </w:tc>
      </w:tr>
      <w:tr w:rsidR="0060301D" w14:paraId="586E039E" w14:textId="77777777" w:rsidTr="2291031B">
        <w:tc>
          <w:tcPr>
            <w:tcW w:w="2263" w:type="dxa"/>
          </w:tcPr>
          <w:p w14:paraId="5FA2D58D" w14:textId="77777777" w:rsidR="0060301D" w:rsidRPr="00536730" w:rsidRDefault="0060301D">
            <w:pPr>
              <w:rPr>
                <w:b/>
              </w:rPr>
            </w:pPr>
            <w:r w:rsidRPr="00536730">
              <w:rPr>
                <w:b/>
              </w:rPr>
              <w:t xml:space="preserve">Is the PhD suitable for part time study? </w:t>
            </w:r>
          </w:p>
        </w:tc>
        <w:tc>
          <w:tcPr>
            <w:tcW w:w="6753" w:type="dxa"/>
          </w:tcPr>
          <w:p w14:paraId="04E771DF" w14:textId="4BB0D65F" w:rsidR="0060301D" w:rsidRDefault="0060301D">
            <w:r>
              <w:t xml:space="preserve">Yes </w:t>
            </w:r>
            <w:sdt>
              <w:sdtPr>
                <w:id w:val="-233779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0AEC" w:rsidRPr="001F0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3E081DDA" w14:textId="2CDF4D07" w:rsidR="0060301D" w:rsidRDefault="00536730" w:rsidP="001D2ACA">
            <w:r>
              <w:t xml:space="preserve">This is a requirement of NERC </w:t>
            </w:r>
          </w:p>
        </w:tc>
      </w:tr>
    </w:tbl>
    <w:p w14:paraId="0F8DB2EC" w14:textId="5F36F4A7" w:rsidR="002E3DA0" w:rsidRDefault="002E3DA0" w:rsidP="00FC4558"/>
    <w:p w14:paraId="5187BB61" w14:textId="1F29E04D" w:rsidR="00E11B26" w:rsidRDefault="00A1073A" w:rsidP="1BFD2001">
      <w:pPr>
        <w:pStyle w:val="Heading2"/>
        <w:rPr>
          <w:b/>
          <w:bCs/>
        </w:rPr>
      </w:pPr>
      <w:r>
        <w:t xml:space="preserve">Project Highlights: </w:t>
      </w:r>
    </w:p>
    <w:p w14:paraId="79E8401C" w14:textId="77777777" w:rsidR="00DB1D28" w:rsidRDefault="00DB1D28" w:rsidP="00DB1D28">
      <w:pPr>
        <w:pStyle w:val="ListParagraph"/>
        <w:numPr>
          <w:ilvl w:val="0"/>
          <w:numId w:val="1"/>
        </w:numPr>
        <w:ind w:left="360"/>
      </w:pPr>
      <w:r>
        <w:t>Ethically informed research exploring the role of minoritized community groups in promoting health and well-being through access to nature, involving a combination of ecological and geological fieldwork, and social research methods.</w:t>
      </w:r>
    </w:p>
    <w:p w14:paraId="5DF07525" w14:textId="196529A4" w:rsidR="00DB1D28" w:rsidRDefault="00DB1D28" w:rsidP="00DB1D28">
      <w:pPr>
        <w:pStyle w:val="ListParagraph"/>
        <w:numPr>
          <w:ilvl w:val="0"/>
          <w:numId w:val="1"/>
        </w:numPr>
        <w:ind w:left="360"/>
      </w:pPr>
      <w:r>
        <w:t>Engaged research to identify need, map assets and co</w:t>
      </w:r>
      <w:r w:rsidRPr="009F6CDD">
        <w:t>-</w:t>
      </w:r>
      <w:r>
        <w:t>design solutions</w:t>
      </w:r>
      <w:r w:rsidRPr="009F6CDD">
        <w:t xml:space="preserve"> with </w:t>
      </w:r>
      <w:r>
        <w:t xml:space="preserve">minoritized </w:t>
      </w:r>
      <w:r w:rsidRPr="009F6CDD">
        <w:t>community groups</w:t>
      </w:r>
      <w:r>
        <w:t xml:space="preserve">, </w:t>
      </w:r>
      <w:r w:rsidRPr="009F6CDD">
        <w:t xml:space="preserve">environmental scientists and other relevant </w:t>
      </w:r>
      <w:r>
        <w:t>‘</w:t>
      </w:r>
      <w:proofErr w:type="gramStart"/>
      <w:r>
        <w:t>constituencies</w:t>
      </w:r>
      <w:r w:rsidR="00786872">
        <w:t>’</w:t>
      </w:r>
      <w:proofErr w:type="gramEnd"/>
      <w:r>
        <w:t>.</w:t>
      </w:r>
    </w:p>
    <w:p w14:paraId="6CCAF9C2" w14:textId="77777777" w:rsidR="00DB1D28" w:rsidRPr="00E11B26" w:rsidRDefault="00DB1D28" w:rsidP="00DB1D28">
      <w:pPr>
        <w:pStyle w:val="ListParagraph"/>
        <w:numPr>
          <w:ilvl w:val="0"/>
          <w:numId w:val="1"/>
        </w:numPr>
        <w:ind w:left="360"/>
      </w:pPr>
      <w:r>
        <w:t>Training in interdisciplinary scientific and social research techniques to generate and evidence forms of social and/or economic impact.</w:t>
      </w:r>
    </w:p>
    <w:p w14:paraId="16E0FB51" w14:textId="515DA585" w:rsidR="00A1073A" w:rsidRDefault="00A1073A" w:rsidP="00A1073A">
      <w:r w:rsidRPr="1BFD2001">
        <w:rPr>
          <w:rStyle w:val="Heading2Char"/>
        </w:rPr>
        <w:t>Overview (including 1 high quality image or figure):</w:t>
      </w:r>
    </w:p>
    <w:p w14:paraId="6591D16B" w14:textId="77777777" w:rsidR="00DB1D28" w:rsidRDefault="00DB1D28" w:rsidP="00DB1D28">
      <w:r>
        <w:lastRenderedPageBreak/>
        <w:t>This PhD project builds on previous research. ‘</w:t>
      </w:r>
      <w:hyperlink r:id="rId16" w:history="1">
        <w:r w:rsidRPr="002A0DBA">
          <w:rPr>
            <w:rStyle w:val="Hyperlink"/>
          </w:rPr>
          <w:t>Walking the Walk</w:t>
        </w:r>
      </w:hyperlink>
      <w:r>
        <w:t xml:space="preserve">’ </w:t>
      </w:r>
      <w:r w:rsidRPr="00815228">
        <w:t>(Figure 1)</w:t>
      </w:r>
      <w:r>
        <w:t xml:space="preserve"> was funded by NERC (2021) </w:t>
      </w:r>
      <w:r w:rsidRPr="002A0DBA">
        <w:t>as part of a programme to make environmental science more diverse, equitable and inclusive</w:t>
      </w:r>
      <w:r>
        <w:t xml:space="preserve"> (Holliman et al. 2024). We interviewed walk leaders and walkers from minoritized</w:t>
      </w:r>
      <w:r>
        <w:rPr>
          <w:rStyle w:val="FootnoteReference"/>
        </w:rPr>
        <w:footnoteReference w:id="2"/>
      </w:r>
      <w:r>
        <w:t xml:space="preserve"> grassroot community groups to identify and overcome barriers to make walking in nature more equitable, inclusive and accessible.</w:t>
      </w:r>
    </w:p>
    <w:p w14:paraId="261BF51A" w14:textId="77777777" w:rsidR="00DB1D28" w:rsidRPr="00815228" w:rsidRDefault="00DB1D28" w:rsidP="00DB1D28">
      <w:r w:rsidRPr="00815228">
        <w:rPr>
          <w:noProof/>
        </w:rPr>
        <w:drawing>
          <wp:inline distT="0" distB="0" distL="0" distR="0" wp14:anchorId="58547DD5" wp14:editId="3C6C45BF">
            <wp:extent cx="5731510" cy="1847850"/>
            <wp:effectExtent l="0" t="0" r="254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9AA3CC3-8F3E-D45C-0E6A-1D07CB790C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9AA3CC3-8F3E-D45C-0E6A-1D07CB790C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3" r="3593" b="6881"/>
                    <a:stretch/>
                  </pic:blipFill>
                  <pic:spPr bwMode="auto"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AA42" w14:textId="216A68A0" w:rsidR="00DB1D28" w:rsidRPr="00815228" w:rsidRDefault="00DB1D28" w:rsidP="00DB1D28">
      <w:r w:rsidRPr="00815228">
        <w:t xml:space="preserve">Figure 1: The </w:t>
      </w:r>
      <w:proofErr w:type="spellStart"/>
      <w:r w:rsidRPr="00815228">
        <w:t>Dadima</w:t>
      </w:r>
      <w:r w:rsidR="003F2D4A">
        <w:t>’</w:t>
      </w:r>
      <w:r w:rsidRPr="00815228">
        <w:t>s</w:t>
      </w:r>
      <w:proofErr w:type="spellEnd"/>
      <w:r w:rsidRPr="00815228">
        <w:t xml:space="preserve"> Community Walking Group and members of the ‘Walking the Walk’ team. Photo: </w:t>
      </w:r>
      <w:r>
        <w:t>Subash</w:t>
      </w:r>
      <w:r w:rsidRPr="00815228">
        <w:t xml:space="preserve"> </w:t>
      </w:r>
      <w:proofErr w:type="spellStart"/>
      <w:r w:rsidRPr="00815228">
        <w:t>Ludhra</w:t>
      </w:r>
      <w:proofErr w:type="spellEnd"/>
      <w:r w:rsidRPr="00815228">
        <w:t>.</w:t>
      </w:r>
    </w:p>
    <w:p w14:paraId="440E6837" w14:textId="6E7EC0E5" w:rsidR="00DB1D28" w:rsidRDefault="00DB1D28" w:rsidP="00DB1D28">
      <w:r w:rsidRPr="00815228">
        <w:t xml:space="preserve">Alt text: Figure 1 is an outdoor setting in spring. Around </w:t>
      </w:r>
      <w:r>
        <w:t xml:space="preserve">35 </w:t>
      </w:r>
      <w:r w:rsidRPr="00815228">
        <w:t xml:space="preserve">walkers from the </w:t>
      </w:r>
      <w:proofErr w:type="spellStart"/>
      <w:r w:rsidRPr="00815228">
        <w:t>Dadima</w:t>
      </w:r>
      <w:r w:rsidR="003F2D4A">
        <w:t>’</w:t>
      </w:r>
      <w:r w:rsidRPr="00815228">
        <w:t>s</w:t>
      </w:r>
      <w:proofErr w:type="spellEnd"/>
      <w:r w:rsidRPr="00815228">
        <w:t xml:space="preserve"> Community Walking Group and </w:t>
      </w:r>
      <w:r>
        <w:t>four</w:t>
      </w:r>
      <w:r w:rsidRPr="00815228">
        <w:t xml:space="preserve"> Open University researchers are celebrating walking in nature.</w:t>
      </w:r>
    </w:p>
    <w:p w14:paraId="77C0CF55" w14:textId="068A662C" w:rsidR="00DB1D28" w:rsidRDefault="00DB1D28" w:rsidP="00DB1D28">
      <w:r>
        <w:t>Findings from Walking the Walk highlight</w:t>
      </w:r>
      <w:r w:rsidR="00222A7D">
        <w:t>ed</w:t>
      </w:r>
      <w:r>
        <w:t xml:space="preserve"> a strong desire among walk leaders and walkers to improve </w:t>
      </w:r>
      <w:r w:rsidRPr="002A0DBA">
        <w:t>physical, mental</w:t>
      </w:r>
      <w:r>
        <w:t xml:space="preserve"> and</w:t>
      </w:r>
      <w:r w:rsidRPr="002A0DBA">
        <w:t xml:space="preserve"> emotional health</w:t>
      </w:r>
      <w:r>
        <w:t xml:space="preserve"> and well-being in combination with a commitment to create the conditions where regular, routine and easy access to nature is genuinely available to all (Holliman et al., 2023).</w:t>
      </w:r>
    </w:p>
    <w:p w14:paraId="3ADEE96A" w14:textId="255A2557" w:rsidR="00DB1D28" w:rsidRDefault="00DB1D28" w:rsidP="00DB1D28">
      <w:r w:rsidRPr="00815228">
        <w:t xml:space="preserve">Drawing on the findings and network developed through ‘Walking the walk’, this PhD project brings together environmental scientists, </w:t>
      </w:r>
      <w:r>
        <w:t xml:space="preserve">minoritized, </w:t>
      </w:r>
      <w:r w:rsidRPr="00815228">
        <w:t xml:space="preserve">grassroot community groups (e.g. </w:t>
      </w:r>
      <w:hyperlink r:id="rId18" w:history="1">
        <w:r w:rsidRPr="00815228">
          <w:rPr>
            <w:rStyle w:val="Hyperlink"/>
          </w:rPr>
          <w:t>Dadima</w:t>
        </w:r>
        <w:r w:rsidR="003F2D4A">
          <w:rPr>
            <w:rStyle w:val="Hyperlink"/>
          </w:rPr>
          <w:t>’</w:t>
        </w:r>
        <w:r w:rsidRPr="00815228">
          <w:rPr>
            <w:rStyle w:val="Hyperlink"/>
          </w:rPr>
          <w:t>s</w:t>
        </w:r>
      </w:hyperlink>
      <w:r w:rsidRPr="00815228">
        <w:t xml:space="preserve">) and other relevant </w:t>
      </w:r>
      <w:r>
        <w:t>constituencies</w:t>
      </w:r>
      <w:r>
        <w:rPr>
          <w:rStyle w:val="FootnoteReference"/>
        </w:rPr>
        <w:footnoteReference w:id="3"/>
      </w:r>
      <w:r w:rsidRPr="00815228">
        <w:t xml:space="preserve"> to </w:t>
      </w:r>
      <w:r w:rsidRPr="00A025F8">
        <w:t>diversify participation</w:t>
      </w:r>
      <w:r>
        <w:t xml:space="preserve"> </w:t>
      </w:r>
      <w:r w:rsidRPr="00A025F8">
        <w:t>in Earth and environmental science</w:t>
      </w:r>
      <w:r>
        <w:t>s, and improve health and well-being for minoritized citizens</w:t>
      </w:r>
      <w:r w:rsidRPr="00815228">
        <w:t>.</w:t>
      </w:r>
    </w:p>
    <w:p w14:paraId="14AD52F7" w14:textId="0ED7DEEA" w:rsidR="00DB1D28" w:rsidRDefault="00DB1D28" w:rsidP="00DB1D28">
      <w:r w:rsidRPr="00815228">
        <w:t xml:space="preserve">A core aim will be to conduct ethically informed engaged research </w:t>
      </w:r>
      <w:r w:rsidRPr="00815228">
        <w:rPr>
          <w:i/>
          <w:iCs/>
        </w:rPr>
        <w:t>with</w:t>
      </w:r>
      <w:r w:rsidRPr="00815228">
        <w:t xml:space="preserve">, rather than to conduct research </w:t>
      </w:r>
      <w:r w:rsidRPr="00815228">
        <w:rPr>
          <w:i/>
          <w:iCs/>
        </w:rPr>
        <w:t>on</w:t>
      </w:r>
      <w:r w:rsidRPr="00815228">
        <w:t xml:space="preserve">, </w:t>
      </w:r>
      <w:r>
        <w:t>minoritized</w:t>
      </w:r>
      <w:r w:rsidRPr="00815228">
        <w:t xml:space="preserve"> community groups, environmental scientists and other relevant ‘</w:t>
      </w:r>
      <w:r w:rsidR="00222A7D">
        <w:t>constituencies’</w:t>
      </w:r>
      <w:r w:rsidRPr="00815228">
        <w:t xml:space="preserve"> (Holliman et al. 2022). </w:t>
      </w:r>
      <w:r>
        <w:t>Demonstrating the principles of inclusive leadership, t</w:t>
      </w:r>
      <w:r w:rsidRPr="00815228">
        <w:t>he successful candidate will draw on a mix of relevant knowledge, experience and expertise</w:t>
      </w:r>
      <w:r>
        <w:t>,</w:t>
      </w:r>
      <w:r w:rsidRPr="00815228">
        <w:t xml:space="preserve"> includ</w:t>
      </w:r>
      <w:r>
        <w:t>ing</w:t>
      </w:r>
      <w:r w:rsidRPr="00815228">
        <w:t xml:space="preserve">: 1) ‘established’ and ‘cutting-edge’ NERC-funded Earth and environmental science, including natural history and conservation (e.g. Badger, 2021; Araya et al, 2017); 2) expertise in the communication of Earth and environmental science to diverse audiences (e.g. </w:t>
      </w:r>
      <w:r>
        <w:t xml:space="preserve">Downey et al. 2021; </w:t>
      </w:r>
      <w:r w:rsidRPr="00815228">
        <w:t xml:space="preserve">Khatwa, </w:t>
      </w:r>
      <w:r w:rsidR="00222A7D">
        <w:t xml:space="preserve">2025; </w:t>
      </w:r>
      <w:r w:rsidRPr="00815228">
        <w:t xml:space="preserve">2019); </w:t>
      </w:r>
      <w:r>
        <w:t xml:space="preserve">3) findings from studies the explore connections between health, well-being and access to nature (e.g. </w:t>
      </w:r>
      <w:proofErr w:type="spellStart"/>
      <w:r>
        <w:t>Qwynne</w:t>
      </w:r>
      <w:proofErr w:type="spellEnd"/>
      <w:r>
        <w:t xml:space="preserve"> Lackey et al. 2021; </w:t>
      </w:r>
      <w:proofErr w:type="spellStart"/>
      <w:r>
        <w:t>Saraev</w:t>
      </w:r>
      <w:proofErr w:type="spellEnd"/>
      <w:r>
        <w:t xml:space="preserve"> et al. 2021); 4</w:t>
      </w:r>
      <w:r w:rsidRPr="00815228">
        <w:t xml:space="preserve">) local knowledge and expertise (Irwin and Michael, 2003) from </w:t>
      </w:r>
      <w:r>
        <w:t xml:space="preserve">minoritized </w:t>
      </w:r>
      <w:r w:rsidRPr="00815228">
        <w:t>community groups and other relevant ‘</w:t>
      </w:r>
      <w:r>
        <w:t>constituencie</w:t>
      </w:r>
      <w:r w:rsidRPr="00815228">
        <w:t>s’.</w:t>
      </w:r>
    </w:p>
    <w:p w14:paraId="67EEE932" w14:textId="7B23BD32" w:rsidR="00A1073A" w:rsidRPr="005C65A1" w:rsidRDefault="00A1073A" w:rsidP="1BFD2001">
      <w:pPr>
        <w:rPr>
          <w:b/>
          <w:bCs/>
        </w:rPr>
      </w:pPr>
      <w:r w:rsidRPr="1BFD2001">
        <w:rPr>
          <w:rStyle w:val="Heading2Char"/>
        </w:rPr>
        <w:t>Methodology:</w:t>
      </w:r>
    </w:p>
    <w:p w14:paraId="3F917B5D" w14:textId="77777777" w:rsidR="00EC01A2" w:rsidRPr="00B22607" w:rsidRDefault="00EC01A2" w:rsidP="00EC01A2">
      <w:r w:rsidRPr="00B22607">
        <w:lastRenderedPageBreak/>
        <w:t>The candidate will draw on and extend the map of relevant ‘</w:t>
      </w:r>
      <w:r>
        <w:t>constituencie</w:t>
      </w:r>
      <w:r w:rsidRPr="00815228">
        <w:t>s’</w:t>
      </w:r>
      <w:r>
        <w:t xml:space="preserve"> </w:t>
      </w:r>
      <w:r w:rsidRPr="00B22607">
        <w:t xml:space="preserve">produced during the ‘Walking the walk’ project to recruit research participants. </w:t>
      </w:r>
    </w:p>
    <w:p w14:paraId="4B367FAB" w14:textId="77777777" w:rsidR="00EC01A2" w:rsidRPr="00B22607" w:rsidRDefault="00EC01A2" w:rsidP="00EC01A2">
      <w:pPr>
        <w:jc w:val="both"/>
      </w:pPr>
      <w:r w:rsidRPr="00B22607">
        <w:t xml:space="preserve">Data collection will draw on a mixed methods methodology (Jensen and Holliman, 2009), involving: </w:t>
      </w:r>
    </w:p>
    <w:p w14:paraId="04CC97A5" w14:textId="77777777" w:rsidR="00EC01A2" w:rsidRPr="00B22607" w:rsidRDefault="00EC01A2" w:rsidP="00EC01A2">
      <w:pPr>
        <w:numPr>
          <w:ilvl w:val="0"/>
          <w:numId w:val="4"/>
        </w:numPr>
      </w:pPr>
      <w:r w:rsidRPr="00B22607">
        <w:t>A ‘systematic review’ (</w:t>
      </w:r>
      <w:proofErr w:type="spellStart"/>
      <w:r w:rsidRPr="00B22607">
        <w:t>Miljand</w:t>
      </w:r>
      <w:proofErr w:type="spellEnd"/>
      <w:r w:rsidRPr="00B22607">
        <w:t>, 2020) of relevant research literature and other public documents.</w:t>
      </w:r>
    </w:p>
    <w:p w14:paraId="37E24439" w14:textId="77777777" w:rsidR="00EC01A2" w:rsidRPr="00B22607" w:rsidRDefault="00EC01A2" w:rsidP="00EC01A2">
      <w:pPr>
        <w:numPr>
          <w:ilvl w:val="0"/>
          <w:numId w:val="4"/>
        </w:numPr>
      </w:pPr>
      <w:r w:rsidRPr="00B22607">
        <w:t xml:space="preserve">Semi-structured interviews with research participants, exploring their perspectives and identifying resources that support </w:t>
      </w:r>
      <w:r>
        <w:t>access to</w:t>
      </w:r>
      <w:r w:rsidRPr="00B22607">
        <w:t xml:space="preserve"> nature.</w:t>
      </w:r>
    </w:p>
    <w:p w14:paraId="7E6009C8" w14:textId="77777777" w:rsidR="00EC01A2" w:rsidRPr="00B22607" w:rsidRDefault="00EC01A2" w:rsidP="00EC01A2">
      <w:pPr>
        <w:numPr>
          <w:ilvl w:val="0"/>
          <w:numId w:val="4"/>
        </w:numPr>
      </w:pPr>
      <w:r w:rsidRPr="00B22607">
        <w:t>Identification and co-development of new approaches and resources with environmental scientists, communication experts and research participants*.</w:t>
      </w:r>
    </w:p>
    <w:p w14:paraId="45643E02" w14:textId="77777777" w:rsidR="00EC01A2" w:rsidRPr="00B22607" w:rsidRDefault="00EC01A2" w:rsidP="00EC01A2">
      <w:pPr>
        <w:jc w:val="both"/>
      </w:pPr>
      <w:r w:rsidRPr="00B22607">
        <w:t>Research participants* will ‘test, learn and revise’ approaches co-developed under point 3 to bring environmental science directly to those trying to make the UK countryside a more inclusive space.</w:t>
      </w:r>
    </w:p>
    <w:p w14:paraId="31ABB269" w14:textId="77777777" w:rsidR="00EC01A2" w:rsidRDefault="00EC01A2" w:rsidP="00EC01A2">
      <w:r w:rsidRPr="00B22607">
        <w:t xml:space="preserve">*For each of the activities, we expect to recruit </w:t>
      </w:r>
      <w:r>
        <w:t xml:space="preserve">minoritized </w:t>
      </w:r>
      <w:r w:rsidRPr="00B22607">
        <w:t>community group leaders</w:t>
      </w:r>
      <w:r>
        <w:t xml:space="preserve"> and members</w:t>
      </w:r>
      <w:r w:rsidRPr="00B22607">
        <w:t xml:space="preserve">, ecologists and environmental and Earth scientists and other relevant </w:t>
      </w:r>
      <w:r>
        <w:t>constituencie</w:t>
      </w:r>
      <w:r w:rsidRPr="00815228">
        <w:t>s</w:t>
      </w:r>
      <w:r>
        <w:t xml:space="preserve"> </w:t>
      </w:r>
      <w:r w:rsidRPr="00B22607">
        <w:t xml:space="preserve">(e.g., representatives from tourist and leisure outlets) as ‘research </w:t>
      </w:r>
      <w:proofErr w:type="gramStart"/>
      <w:r w:rsidRPr="00B22607">
        <w:t>participants’</w:t>
      </w:r>
      <w:proofErr w:type="gramEnd"/>
      <w:r w:rsidRPr="00B22607">
        <w:t>.</w:t>
      </w:r>
    </w:p>
    <w:p w14:paraId="182F45BB" w14:textId="1267B06C" w:rsidR="00A1073A" w:rsidRPr="005C65A1" w:rsidRDefault="00A1073A" w:rsidP="1BFD2001">
      <w:pPr>
        <w:rPr>
          <w:b/>
          <w:bCs/>
        </w:rPr>
      </w:pPr>
      <w:r w:rsidRPr="1BFD2001">
        <w:rPr>
          <w:rStyle w:val="Heading2Char"/>
        </w:rPr>
        <w:t>Training and skills:</w:t>
      </w:r>
    </w:p>
    <w:p w14:paraId="37F8BE86" w14:textId="77777777" w:rsidR="00602BAE" w:rsidRDefault="00602BAE" w:rsidP="00602BAE">
      <w:pPr>
        <w:shd w:val="clear" w:color="auto" w:fill="DEEAF6" w:themeFill="accent1" w:themeFillTint="33"/>
      </w:pPr>
      <w:r>
        <w:t xml:space="preserve">DRs will be awarded CENTA Training Credits (CTCs) for participation in CENTA-provided and ‘free choice’ external training. One CTC can be earned per 3 hours training, and DRs must accrue 100 CTCs across the three and a half years of their PhD. </w:t>
      </w:r>
    </w:p>
    <w:p w14:paraId="4BCA4E79" w14:textId="77777777" w:rsidR="00EC01A2" w:rsidRDefault="00EC01A2" w:rsidP="00EC01A2">
      <w:r>
        <w:t xml:space="preserve">Training in research design, methods and analysis will be provided. Depending on the candidate, specific training in aspects of geology, ecosystems and/or the social aspects of researching minoritized community groups will be provided. It is not expected that applicants would have experience in </w:t>
      </w:r>
      <w:proofErr w:type="gramStart"/>
      <w:r>
        <w:t>all of</w:t>
      </w:r>
      <w:proofErr w:type="gramEnd"/>
      <w:r>
        <w:t xml:space="preserve"> these methods prior to starting the PhD.</w:t>
      </w:r>
    </w:p>
    <w:p w14:paraId="5D18DB2C" w14:textId="4BE34BD7" w:rsidR="0026062A" w:rsidRDefault="00EC01A2" w:rsidP="00272563">
      <w:pPr>
        <w:jc w:val="both"/>
      </w:pPr>
      <w:r>
        <w:t xml:space="preserve">The candidate will join a thriving postgraduate community. Our students can gain teaching experience (e.g. </w:t>
      </w:r>
      <w:hyperlink r:id="rId19" w:history="1">
        <w:r w:rsidR="00C6662E">
          <w:rPr>
            <w:rStyle w:val="Hyperlink"/>
          </w:rPr>
          <w:t>Willow</w:t>
        </w:r>
        <w:r w:rsidRPr="008804B4">
          <w:rPr>
            <w:rStyle w:val="Hyperlink"/>
          </w:rPr>
          <w:t xml:space="preserve"> Ne</w:t>
        </w:r>
        <w:r>
          <w:rPr>
            <w:rStyle w:val="Hyperlink"/>
          </w:rPr>
          <w:t>a</w:t>
        </w:r>
        <w:r w:rsidRPr="008804B4">
          <w:rPr>
            <w:rStyle w:val="Hyperlink"/>
          </w:rPr>
          <w:t>l</w:t>
        </w:r>
      </w:hyperlink>
      <w:r>
        <w:t xml:space="preserve">), alongside skills in engagement through training (e.g. Holliman and Warren, 2017), placements and internships (e.g. </w:t>
      </w:r>
      <w:hyperlink r:id="rId20" w:history="1">
        <w:r>
          <w:rPr>
            <w:rStyle w:val="Hyperlink"/>
          </w:rPr>
          <w:t>Kate Hand</w:t>
        </w:r>
      </w:hyperlink>
      <w:r>
        <w:t xml:space="preserve">), and by contributing to a range of media (e.g. </w:t>
      </w:r>
      <w:hyperlink r:id="rId21" w:history="1">
        <w:r>
          <w:rPr>
            <w:rStyle w:val="Hyperlink"/>
          </w:rPr>
          <w:t>Katrina Nilsson-Kerr</w:t>
        </w:r>
      </w:hyperlink>
      <w:r>
        <w:t>).</w:t>
      </w:r>
    </w:p>
    <w:p w14:paraId="539A15B4" w14:textId="77777777" w:rsidR="00A1073A" w:rsidRPr="005C65A1" w:rsidRDefault="00A1073A" w:rsidP="1BFD2001">
      <w:pPr>
        <w:pStyle w:val="Heading2"/>
        <w:rPr>
          <w:b/>
          <w:bCs/>
        </w:rPr>
      </w:pPr>
      <w:r>
        <w:t>Possible timeline:</w:t>
      </w:r>
    </w:p>
    <w:p w14:paraId="71CE656A" w14:textId="77777777" w:rsidR="003F2D4A" w:rsidRPr="00970565" w:rsidRDefault="003F2D4A" w:rsidP="003F2D4A">
      <w:r w:rsidRPr="00970565">
        <w:t xml:space="preserve">Year 1: Revise and extend the </w:t>
      </w:r>
      <w:r>
        <w:t xml:space="preserve">existing ‘Walking the walk’ </w:t>
      </w:r>
      <w:r w:rsidRPr="00970565">
        <w:t xml:space="preserve">map of relevant ‘public’s; select initial list of research participants to interview. Conduct and analyse interviews. Develop a framework and select </w:t>
      </w:r>
      <w:r>
        <w:t>initial</w:t>
      </w:r>
      <w:r w:rsidRPr="00970565">
        <w:t xml:space="preserve"> </w:t>
      </w:r>
      <w:r>
        <w:t>activities in nature</w:t>
      </w:r>
      <w:r w:rsidRPr="00970565">
        <w:t xml:space="preserve"> </w:t>
      </w:r>
      <w:r>
        <w:t>to feature</w:t>
      </w:r>
      <w:r w:rsidRPr="00970565">
        <w:t xml:space="preserve"> geology and/or ecology. </w:t>
      </w:r>
      <w:r>
        <w:t xml:space="preserve">Identify existing resources to support initial activities; co-produce new and/or collate/curate existing resources. </w:t>
      </w:r>
      <w:r w:rsidRPr="00970565">
        <w:t xml:space="preserve">Present preliminary project outline/results to the </w:t>
      </w:r>
      <w:proofErr w:type="gramStart"/>
      <w:r w:rsidRPr="00970565">
        <w:t>School</w:t>
      </w:r>
      <w:proofErr w:type="gramEnd"/>
      <w:r w:rsidRPr="00970565">
        <w:t>. Pass probation upgrade.</w:t>
      </w:r>
    </w:p>
    <w:p w14:paraId="16157C43" w14:textId="77777777" w:rsidR="003F2D4A" w:rsidRPr="00636F97" w:rsidRDefault="003F2D4A" w:rsidP="003F2D4A">
      <w:pPr>
        <w:rPr>
          <w:highlight w:val="yellow"/>
        </w:rPr>
      </w:pPr>
      <w:r w:rsidRPr="00AE2DEA">
        <w:t>Year 2: Select</w:t>
      </w:r>
      <w:r w:rsidRPr="00970565">
        <w:t xml:space="preserve"> </w:t>
      </w:r>
      <w:r>
        <w:t xml:space="preserve">further sample </w:t>
      </w:r>
      <w:r w:rsidRPr="00970565">
        <w:t xml:space="preserve">of research participants to interview. Conduct and analyse interviews. </w:t>
      </w:r>
      <w:r>
        <w:t>Re-use</w:t>
      </w:r>
      <w:r w:rsidRPr="00970565">
        <w:t xml:space="preserve"> framework </w:t>
      </w:r>
      <w:r>
        <w:t>to</w:t>
      </w:r>
      <w:r w:rsidRPr="00970565">
        <w:t xml:space="preserve"> select </w:t>
      </w:r>
      <w:r>
        <w:t>at least two further</w:t>
      </w:r>
      <w:r w:rsidRPr="00970565">
        <w:t xml:space="preserve"> </w:t>
      </w:r>
      <w:r>
        <w:t>activities in nature</w:t>
      </w:r>
      <w:r w:rsidRPr="00970565">
        <w:t xml:space="preserve"> </w:t>
      </w:r>
      <w:r>
        <w:t>to feature</w:t>
      </w:r>
      <w:r w:rsidRPr="00970565">
        <w:t xml:space="preserve"> geology and/or ecology. </w:t>
      </w:r>
      <w:r>
        <w:t xml:space="preserve">Identify existing resources to support the activities in nature; co-produce new and/or collate/curate existing resources. </w:t>
      </w:r>
      <w:r w:rsidRPr="00AE2DEA">
        <w:t>Present preliminary results at a national conference</w:t>
      </w:r>
      <w:r>
        <w:t xml:space="preserve">, </w:t>
      </w:r>
      <w:r w:rsidRPr="00970565">
        <w:t>prepare article for publication</w:t>
      </w:r>
      <w:r w:rsidRPr="00AE2DEA">
        <w:t>.</w:t>
      </w:r>
    </w:p>
    <w:p w14:paraId="514CC76B" w14:textId="77777777" w:rsidR="003F2D4A" w:rsidRDefault="003F2D4A" w:rsidP="003F2D4A">
      <w:r w:rsidRPr="00970565">
        <w:t xml:space="preserve">Years 3-4: Finalise </w:t>
      </w:r>
      <w:r>
        <w:t>analytical work on data collected in Year 2</w:t>
      </w:r>
      <w:r w:rsidRPr="00970565">
        <w:t xml:space="preserve">, return to </w:t>
      </w:r>
      <w:r>
        <w:t xml:space="preserve">existing activities in nature </w:t>
      </w:r>
      <w:r w:rsidRPr="00970565">
        <w:t xml:space="preserve">to </w:t>
      </w:r>
      <w:r>
        <w:t>validate resources with additional community groups</w:t>
      </w:r>
      <w:r w:rsidRPr="00970565">
        <w:t>. Present results at an international conference. Write thesis, prepare articles for publication</w:t>
      </w:r>
      <w:r>
        <w:t>.</w:t>
      </w:r>
    </w:p>
    <w:p w14:paraId="21B24BB2" w14:textId="14D3878B" w:rsidR="00A1073A" w:rsidRPr="005C65A1" w:rsidRDefault="00A1073A" w:rsidP="1BFD2001">
      <w:pPr>
        <w:rPr>
          <w:b/>
          <w:bCs/>
        </w:rPr>
      </w:pPr>
      <w:r w:rsidRPr="1BFD2001">
        <w:rPr>
          <w:rStyle w:val="Heading2Char"/>
        </w:rPr>
        <w:lastRenderedPageBreak/>
        <w:t>Further reading:</w:t>
      </w:r>
    </w:p>
    <w:p w14:paraId="2EB7EA24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1C0903">
        <w:rPr>
          <w:rFonts w:eastAsia="Calibri" w:cstheme="minorHAnsi"/>
        </w:rPr>
        <w:t xml:space="preserve">Holliman, R., </w:t>
      </w:r>
      <w:proofErr w:type="spellStart"/>
      <w:r w:rsidRPr="001C0903">
        <w:rPr>
          <w:rFonts w:eastAsia="Calibri" w:cstheme="minorHAnsi"/>
        </w:rPr>
        <w:t>Ludhra</w:t>
      </w:r>
      <w:proofErr w:type="spellEnd"/>
      <w:r w:rsidRPr="001C0903">
        <w:rPr>
          <w:rFonts w:eastAsia="Calibri" w:cstheme="minorHAnsi"/>
        </w:rPr>
        <w:t xml:space="preserve">, G., Warren, C.J., Khatwa, A., Araya, Y., Smith, K., Ansine, J. and M.S. Badger (2024). Co-constructing ‘third spaces’ for engagement with and for minoritized community groups and environmental scientists. </w:t>
      </w:r>
      <w:r w:rsidRPr="001C0903">
        <w:rPr>
          <w:rFonts w:eastAsia="Calibri" w:cstheme="minorHAnsi"/>
          <w:i/>
          <w:iCs/>
        </w:rPr>
        <w:t>Earth Science, Systems and Society</w:t>
      </w:r>
      <w:r w:rsidRPr="001C0903">
        <w:rPr>
          <w:rFonts w:eastAsia="Calibri" w:cstheme="minorHAnsi"/>
        </w:rPr>
        <w:t xml:space="preserve">, </w:t>
      </w:r>
      <w:r w:rsidRPr="001C0903">
        <w:rPr>
          <w:rFonts w:eastAsia="Calibri" w:cstheme="minorHAnsi"/>
          <w:b/>
          <w:bCs/>
        </w:rPr>
        <w:t>4</w:t>
      </w:r>
      <w:r w:rsidRPr="001C0903">
        <w:rPr>
          <w:rFonts w:eastAsia="Calibri" w:cstheme="minorHAnsi"/>
        </w:rPr>
        <w:t xml:space="preserve">:10119, </w:t>
      </w:r>
      <w:hyperlink r:id="rId22" w:history="1">
        <w:r w:rsidRPr="001C0903">
          <w:rPr>
            <w:rStyle w:val="Hyperlink"/>
            <w:rFonts w:eastAsia="Calibri" w:cstheme="minorHAnsi"/>
          </w:rPr>
          <w:t>https://doi.org/10.3389/esss.2024.10119</w:t>
        </w:r>
      </w:hyperlink>
      <w:r w:rsidRPr="001C0903">
        <w:rPr>
          <w:rFonts w:eastAsia="Calibri" w:cstheme="minorHAnsi"/>
        </w:rPr>
        <w:t>.</w:t>
      </w:r>
    </w:p>
    <w:p w14:paraId="609E3AEC" w14:textId="77777777" w:rsidR="003F2D4A" w:rsidRPr="00CD283E" w:rsidRDefault="003F2D4A" w:rsidP="003F2D4A">
      <w:pPr>
        <w:spacing w:after="120" w:line="240" w:lineRule="auto"/>
        <w:ind w:left="397" w:hanging="397"/>
        <w:rPr>
          <w:rFonts w:cstheme="minorHAnsi"/>
        </w:rPr>
      </w:pPr>
      <w:r w:rsidRPr="00CD283E">
        <w:rPr>
          <w:rFonts w:cstheme="minorHAnsi"/>
        </w:rPr>
        <w:t xml:space="preserve">Khatwa, A. (2019) ‘Resonance in rocks: Building a sustainable learning and engagement programme for the Jurassic Coast’, </w:t>
      </w:r>
      <w:r w:rsidRPr="00CD283E">
        <w:rPr>
          <w:rFonts w:cstheme="minorHAnsi"/>
          <w:i/>
          <w:iCs/>
        </w:rPr>
        <w:t>Proceedings of the Geologists' Association</w:t>
      </w:r>
      <w:r w:rsidRPr="00CD283E">
        <w:rPr>
          <w:rFonts w:cstheme="minorHAnsi"/>
        </w:rPr>
        <w:t xml:space="preserve">, </w:t>
      </w:r>
      <w:r w:rsidRPr="00D85F01">
        <w:rPr>
          <w:rFonts w:cstheme="minorHAnsi"/>
          <w:b/>
          <w:bCs/>
        </w:rPr>
        <w:t>130</w:t>
      </w:r>
      <w:r>
        <w:rPr>
          <w:rFonts w:cstheme="minorHAnsi"/>
        </w:rPr>
        <w:t>(</w:t>
      </w:r>
      <w:r w:rsidRPr="00CD283E">
        <w:rPr>
          <w:rFonts w:cstheme="minorHAnsi"/>
        </w:rPr>
        <w:t>3–4</w:t>
      </w:r>
      <w:r>
        <w:rPr>
          <w:rFonts w:cstheme="minorHAnsi"/>
        </w:rPr>
        <w:t>)</w:t>
      </w:r>
      <w:r w:rsidRPr="00CD283E">
        <w:rPr>
          <w:rFonts w:cstheme="minorHAnsi"/>
        </w:rPr>
        <w:t xml:space="preserve">, 507-21, </w:t>
      </w:r>
      <w:hyperlink r:id="rId23" w:history="1">
        <w:r w:rsidRPr="003F4A7B">
          <w:rPr>
            <w:rStyle w:val="Hyperlink"/>
            <w:rFonts w:cstheme="minorHAnsi"/>
          </w:rPr>
          <w:t>https://doi.org/10.1016/j.pgeola.2018.10.003</w:t>
        </w:r>
      </w:hyperlink>
      <w:r w:rsidRPr="00CD283E">
        <w:rPr>
          <w:rFonts w:cstheme="minorHAnsi"/>
        </w:rPr>
        <w:t xml:space="preserve">. </w:t>
      </w:r>
    </w:p>
    <w:p w14:paraId="31475364" w14:textId="77777777" w:rsidR="003F2D4A" w:rsidRDefault="003F2D4A" w:rsidP="003F2D4A">
      <w:pPr>
        <w:tabs>
          <w:tab w:val="left" w:pos="449"/>
        </w:tabs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NERC (2021) </w:t>
      </w:r>
      <w:r w:rsidRPr="00CD283E">
        <w:rPr>
          <w:rFonts w:eastAsia="Calibri" w:cstheme="minorHAnsi"/>
          <w:i/>
          <w:iCs/>
        </w:rPr>
        <w:t>Advancing equity, diversity and inclusivity in the environmental sciences</w:t>
      </w:r>
      <w:r w:rsidRPr="00CD283E">
        <w:rPr>
          <w:rFonts w:eastAsia="Calibri" w:cstheme="minorHAnsi"/>
        </w:rPr>
        <w:t>. NERC: Swindon</w:t>
      </w:r>
      <w:r>
        <w:rPr>
          <w:rFonts w:eastAsia="Calibri" w:cstheme="minorHAnsi"/>
        </w:rPr>
        <w:t xml:space="preserve">, </w:t>
      </w:r>
      <w:hyperlink r:id="rId24" w:history="1">
        <w:r w:rsidRPr="00CD283E">
          <w:rPr>
            <w:rStyle w:val="Hyperlink"/>
            <w:rFonts w:eastAsia="Calibri" w:cstheme="minorHAnsi"/>
          </w:rPr>
          <w:t>https://www.ukri.org/publications/advancing-equity-diversity-and-inclusivity-in-the-environmental-sciences</w:t>
        </w:r>
      </w:hyperlink>
      <w:r>
        <w:rPr>
          <w:rFonts w:eastAsia="Calibri" w:cstheme="minorHAnsi"/>
        </w:rPr>
        <w:t>.</w:t>
      </w:r>
    </w:p>
    <w:p w14:paraId="7B4A0069" w14:textId="60FEA471" w:rsidR="003F2D4A" w:rsidRDefault="003F2D4A" w:rsidP="003F2D4A">
      <w:pPr>
        <w:tabs>
          <w:tab w:val="left" w:pos="449"/>
        </w:tabs>
        <w:spacing w:after="120" w:line="240" w:lineRule="auto"/>
        <w:ind w:left="397" w:hanging="397"/>
        <w:rPr>
          <w:bCs/>
        </w:rPr>
      </w:pPr>
      <w:proofErr w:type="spellStart"/>
      <w:r w:rsidRPr="00560517">
        <w:rPr>
          <w:bCs/>
        </w:rPr>
        <w:t>Qwynne</w:t>
      </w:r>
      <w:proofErr w:type="spellEnd"/>
      <w:r w:rsidRPr="00560517">
        <w:rPr>
          <w:bCs/>
        </w:rPr>
        <w:t xml:space="preserve"> Lackey</w:t>
      </w:r>
      <w:r>
        <w:rPr>
          <w:bCs/>
        </w:rPr>
        <w:t xml:space="preserve"> N.</w:t>
      </w:r>
      <w:r w:rsidRPr="00560517">
        <w:rPr>
          <w:bCs/>
        </w:rPr>
        <w:t>, Tysor</w:t>
      </w:r>
      <w:r>
        <w:rPr>
          <w:bCs/>
        </w:rPr>
        <w:t xml:space="preserve"> D.A</w:t>
      </w:r>
      <w:r w:rsidRPr="00560517">
        <w:rPr>
          <w:bCs/>
        </w:rPr>
        <w:t>, McNay</w:t>
      </w:r>
      <w:r>
        <w:rPr>
          <w:bCs/>
        </w:rPr>
        <w:t xml:space="preserve"> G.D.</w:t>
      </w:r>
      <w:r w:rsidRPr="00560517">
        <w:rPr>
          <w:bCs/>
        </w:rPr>
        <w:t>, Joyner</w:t>
      </w:r>
      <w:r>
        <w:rPr>
          <w:bCs/>
        </w:rPr>
        <w:t xml:space="preserve"> L.</w:t>
      </w:r>
      <w:r w:rsidRPr="00560517">
        <w:rPr>
          <w:bCs/>
        </w:rPr>
        <w:t>, Baker</w:t>
      </w:r>
      <w:r>
        <w:rPr>
          <w:bCs/>
        </w:rPr>
        <w:t xml:space="preserve"> K.H. and C.</w:t>
      </w:r>
      <w:r w:rsidRPr="00560517">
        <w:rPr>
          <w:bCs/>
        </w:rPr>
        <w:t xml:space="preserve"> Hodge (2021) </w:t>
      </w:r>
      <w:r>
        <w:rPr>
          <w:bCs/>
        </w:rPr>
        <w:t>‘</w:t>
      </w:r>
      <w:r w:rsidRPr="00560517">
        <w:rPr>
          <w:bCs/>
        </w:rPr>
        <w:t>Mental health benefits of nature</w:t>
      </w:r>
      <w:r>
        <w:rPr>
          <w:bCs/>
        </w:rPr>
        <w:t>-</w:t>
      </w:r>
      <w:r w:rsidRPr="00560517">
        <w:rPr>
          <w:bCs/>
        </w:rPr>
        <w:t>based recreation: a systematic review</w:t>
      </w:r>
      <w:r>
        <w:rPr>
          <w:bCs/>
        </w:rPr>
        <w:t>’</w:t>
      </w:r>
      <w:r w:rsidRPr="00560517">
        <w:rPr>
          <w:bCs/>
        </w:rPr>
        <w:t xml:space="preserve">, </w:t>
      </w:r>
      <w:r w:rsidRPr="00560517">
        <w:rPr>
          <w:bCs/>
          <w:i/>
          <w:iCs/>
        </w:rPr>
        <w:t>Annals of Leisure Research</w:t>
      </w:r>
      <w:r w:rsidRPr="00560517">
        <w:rPr>
          <w:bCs/>
        </w:rPr>
        <w:t xml:space="preserve">, </w:t>
      </w:r>
      <w:r w:rsidRPr="00944E28">
        <w:rPr>
          <w:b/>
        </w:rPr>
        <w:t>24</w:t>
      </w:r>
      <w:r>
        <w:rPr>
          <w:bCs/>
        </w:rPr>
        <w:t>(</w:t>
      </w:r>
      <w:r w:rsidRPr="00560517">
        <w:rPr>
          <w:bCs/>
        </w:rPr>
        <w:t>3</w:t>
      </w:r>
      <w:r>
        <w:rPr>
          <w:bCs/>
        </w:rPr>
        <w:t>)</w:t>
      </w:r>
      <w:r w:rsidRPr="00560517">
        <w:rPr>
          <w:bCs/>
        </w:rPr>
        <w:t>, 379-93,</w:t>
      </w:r>
      <w:r>
        <w:rPr>
          <w:bCs/>
        </w:rPr>
        <w:t xml:space="preserve"> </w:t>
      </w:r>
      <w:hyperlink r:id="rId25" w:history="1">
        <w:r w:rsidRPr="002C2186">
          <w:rPr>
            <w:rStyle w:val="Hyperlink"/>
            <w:bCs/>
          </w:rPr>
          <w:t>https://doi.org/10.1080/11745398.2019.1655459</w:t>
        </w:r>
      </w:hyperlink>
      <w:r>
        <w:rPr>
          <w:bCs/>
        </w:rPr>
        <w:t>.</w:t>
      </w:r>
    </w:p>
    <w:p w14:paraId="1A0FE767" w14:textId="77777777" w:rsidR="003F2D4A" w:rsidRPr="005C65A1" w:rsidRDefault="003F2D4A" w:rsidP="003F2D4A">
      <w:pPr>
        <w:rPr>
          <w:b/>
        </w:rPr>
      </w:pPr>
      <w:r>
        <w:rPr>
          <w:b/>
        </w:rPr>
        <w:t>References:</w:t>
      </w:r>
    </w:p>
    <w:p w14:paraId="6F2D189B" w14:textId="77777777" w:rsidR="003F2D4A" w:rsidRPr="00CD283E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Araya, Y., </w:t>
      </w:r>
      <w:proofErr w:type="spellStart"/>
      <w:r w:rsidRPr="00CD283E">
        <w:rPr>
          <w:rFonts w:eastAsia="Calibri" w:cstheme="minorHAnsi"/>
        </w:rPr>
        <w:t>Bartelheimer</w:t>
      </w:r>
      <w:proofErr w:type="spellEnd"/>
      <w:r w:rsidRPr="00CD283E">
        <w:rPr>
          <w:rFonts w:eastAsia="Calibri" w:cstheme="minorHAnsi"/>
        </w:rPr>
        <w:t xml:space="preserve">, M., Valle, C., </w:t>
      </w:r>
      <w:proofErr w:type="spellStart"/>
      <w:r w:rsidRPr="00CD283E">
        <w:rPr>
          <w:rFonts w:eastAsia="Calibri" w:cstheme="minorHAnsi"/>
        </w:rPr>
        <w:t>Crujeiras</w:t>
      </w:r>
      <w:proofErr w:type="spellEnd"/>
      <w:r w:rsidRPr="00CD283E">
        <w:rPr>
          <w:rFonts w:eastAsia="Calibri" w:cstheme="minorHAnsi"/>
        </w:rPr>
        <w:t xml:space="preserve">, R., and García-Baquero, G. (2017). ‘Does functional soil microbial diversity contribute to explain within-site plant beta-diversity in an alpine grassland and a </w:t>
      </w:r>
      <w:proofErr w:type="spellStart"/>
      <w:r w:rsidRPr="00CD283E">
        <w:rPr>
          <w:rFonts w:eastAsia="Calibri" w:cstheme="minorHAnsi"/>
        </w:rPr>
        <w:t>dehesa</w:t>
      </w:r>
      <w:proofErr w:type="spellEnd"/>
      <w:r w:rsidRPr="00CD283E">
        <w:rPr>
          <w:rFonts w:eastAsia="Calibri" w:cstheme="minorHAnsi"/>
        </w:rPr>
        <w:t xml:space="preserve"> meadow in Spain?’ </w:t>
      </w:r>
      <w:r w:rsidRPr="00CD283E">
        <w:rPr>
          <w:rFonts w:eastAsia="Calibri" w:cstheme="minorHAnsi"/>
          <w:i/>
          <w:iCs/>
        </w:rPr>
        <w:t>Journal of Vegetation Science</w:t>
      </w:r>
      <w:r w:rsidRPr="00CD283E">
        <w:rPr>
          <w:rFonts w:eastAsia="Calibri" w:cstheme="minorHAnsi"/>
        </w:rPr>
        <w:t xml:space="preserve">, </w:t>
      </w:r>
      <w:r w:rsidRPr="00CD283E">
        <w:rPr>
          <w:rFonts w:eastAsia="Calibri" w:cstheme="minorHAnsi"/>
          <w:b/>
          <w:bCs/>
        </w:rPr>
        <w:t>28</w:t>
      </w:r>
      <w:r w:rsidRPr="00CD283E">
        <w:rPr>
          <w:rFonts w:eastAsia="Calibri" w:cstheme="minorHAnsi"/>
        </w:rPr>
        <w:t xml:space="preserve">(5), 1018–27, </w:t>
      </w:r>
      <w:hyperlink r:id="rId26" w:history="1">
        <w:r w:rsidRPr="00CD283E">
          <w:rPr>
            <w:rStyle w:val="Hyperlink"/>
            <w:rFonts w:eastAsia="Calibri" w:cstheme="minorHAnsi"/>
          </w:rPr>
          <w:t>https://oro.open.ac.uk/48707</w:t>
        </w:r>
      </w:hyperlink>
      <w:r w:rsidRPr="00CD283E">
        <w:rPr>
          <w:rFonts w:eastAsia="Calibri" w:cstheme="minorHAnsi"/>
        </w:rPr>
        <w:t>.</w:t>
      </w:r>
    </w:p>
    <w:p w14:paraId="3015E95F" w14:textId="77777777" w:rsidR="003F2D4A" w:rsidRPr="00CD283E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Badger, M. (2021). ‘Alkenone isotopes show evidence of active carbon concentrating mechanisms in coccolithophores as aqueous carbon dioxide concentrations fall below 7 </w:t>
      </w:r>
      <w:proofErr w:type="spellStart"/>
      <w:r w:rsidRPr="00CD283E">
        <w:rPr>
          <w:rFonts w:eastAsia="Calibri" w:cstheme="minorHAnsi"/>
        </w:rPr>
        <w:t>μmol</w:t>
      </w:r>
      <w:proofErr w:type="spellEnd"/>
      <w:r w:rsidRPr="00CD283E">
        <w:rPr>
          <w:rFonts w:eastAsia="Calibri" w:cstheme="minorHAnsi"/>
        </w:rPr>
        <w:t xml:space="preserve"> L−1’. </w:t>
      </w:r>
      <w:proofErr w:type="spellStart"/>
      <w:r w:rsidRPr="00CD283E">
        <w:rPr>
          <w:rFonts w:eastAsia="Calibri" w:cstheme="minorHAnsi"/>
          <w:i/>
          <w:iCs/>
        </w:rPr>
        <w:t>Biogeosciences</w:t>
      </w:r>
      <w:proofErr w:type="spellEnd"/>
      <w:r w:rsidRPr="00CD283E">
        <w:rPr>
          <w:rFonts w:eastAsia="Calibri" w:cstheme="minorHAnsi"/>
        </w:rPr>
        <w:t xml:space="preserve">, </w:t>
      </w:r>
      <w:r w:rsidRPr="00CD283E">
        <w:rPr>
          <w:rFonts w:eastAsia="Calibri" w:cstheme="minorHAnsi"/>
          <w:b/>
          <w:bCs/>
        </w:rPr>
        <w:t>18</w:t>
      </w:r>
      <w:r w:rsidRPr="00CD283E">
        <w:rPr>
          <w:rFonts w:eastAsia="Calibri" w:cstheme="minorHAnsi"/>
        </w:rPr>
        <w:t>(3)</w:t>
      </w:r>
      <w:r>
        <w:rPr>
          <w:rFonts w:eastAsia="Calibri" w:cstheme="minorHAnsi"/>
        </w:rPr>
        <w:t>,</w:t>
      </w:r>
      <w:r w:rsidRPr="00CD283E">
        <w:rPr>
          <w:rFonts w:eastAsia="Calibri" w:cstheme="minorHAnsi"/>
        </w:rPr>
        <w:t xml:space="preserve"> 1149–60, </w:t>
      </w:r>
      <w:hyperlink r:id="rId27" w:history="1">
        <w:r w:rsidRPr="00CD283E">
          <w:rPr>
            <w:rStyle w:val="Hyperlink"/>
            <w:rFonts w:eastAsia="Calibri" w:cstheme="minorHAnsi"/>
          </w:rPr>
          <w:t>https://oro.open.ac.uk/72494</w:t>
        </w:r>
      </w:hyperlink>
      <w:r w:rsidRPr="00CD283E">
        <w:rPr>
          <w:rFonts w:eastAsia="Calibri" w:cstheme="minorHAnsi"/>
        </w:rPr>
        <w:t>.</w:t>
      </w:r>
    </w:p>
    <w:p w14:paraId="53A6AD1D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Dowey, N., Barclay, J., Fernando, B., Giles, S., Houghton, J., Jackson, C., Khatwa, A., et al. (2021) ‘A UK perspective on tackling the geoscience racial diversity crisis in the Global North’, </w:t>
      </w:r>
      <w:r w:rsidRPr="00CD283E">
        <w:rPr>
          <w:rFonts w:eastAsia="Calibri" w:cstheme="minorHAnsi"/>
          <w:i/>
          <w:iCs/>
        </w:rPr>
        <w:t>Nature Geoscience</w:t>
      </w:r>
      <w:r w:rsidRPr="00CD283E">
        <w:rPr>
          <w:rFonts w:eastAsia="Calibri" w:cstheme="minorHAnsi"/>
        </w:rPr>
        <w:t xml:space="preserve">, </w:t>
      </w:r>
      <w:r w:rsidRPr="00D85F01">
        <w:rPr>
          <w:rFonts w:eastAsia="Calibri" w:cstheme="minorHAnsi"/>
          <w:b/>
          <w:bCs/>
        </w:rPr>
        <w:t>14</w:t>
      </w:r>
      <w:r w:rsidRPr="00CD283E">
        <w:rPr>
          <w:rFonts w:eastAsia="Calibri" w:cstheme="minorHAnsi"/>
        </w:rPr>
        <w:t xml:space="preserve">, 256–59, </w:t>
      </w:r>
      <w:hyperlink r:id="rId28" w:history="1">
        <w:r w:rsidRPr="00CD283E">
          <w:rPr>
            <w:rFonts w:eastAsia="Calibri" w:cstheme="minorHAnsi"/>
            <w:color w:val="0563C1"/>
            <w:u w:val="single"/>
          </w:rPr>
          <w:t>http://dx.doi.org/10.1038/s41561-021-00737-w</w:t>
        </w:r>
      </w:hyperlink>
      <w:r w:rsidRPr="00CD283E">
        <w:rPr>
          <w:rFonts w:eastAsia="Calibri" w:cstheme="minorHAnsi"/>
        </w:rPr>
        <w:t>.</w:t>
      </w:r>
    </w:p>
    <w:p w14:paraId="3C4C15F1" w14:textId="77777777" w:rsidR="003F2D4A" w:rsidRPr="001C0903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bookmarkStart w:id="0" w:name="_Hlk175054154"/>
      <w:r w:rsidRPr="001C0903">
        <w:rPr>
          <w:rFonts w:eastAsia="Calibri" w:cstheme="minorHAnsi"/>
        </w:rPr>
        <w:t xml:space="preserve">Holliman, R., </w:t>
      </w:r>
      <w:proofErr w:type="spellStart"/>
      <w:r w:rsidRPr="001C0903">
        <w:rPr>
          <w:rFonts w:eastAsia="Calibri" w:cstheme="minorHAnsi"/>
        </w:rPr>
        <w:t>Ludhra</w:t>
      </w:r>
      <w:proofErr w:type="spellEnd"/>
      <w:r w:rsidRPr="001C0903">
        <w:rPr>
          <w:rFonts w:eastAsia="Calibri" w:cstheme="minorHAnsi"/>
        </w:rPr>
        <w:t xml:space="preserve">, G., Warren, C.J., Khatwa, A., Araya, Y., Smith, K., Ansine, J. and M.S. Badger (2024). Co-constructing ‘third spaces’ for engagement with and for minoritized community groups and environmental scientists. </w:t>
      </w:r>
      <w:r w:rsidRPr="001C0903">
        <w:rPr>
          <w:rFonts w:eastAsia="Calibri" w:cstheme="minorHAnsi"/>
          <w:i/>
          <w:iCs/>
        </w:rPr>
        <w:t>Earth Science, Systems and Society</w:t>
      </w:r>
      <w:r w:rsidRPr="001C0903">
        <w:rPr>
          <w:rFonts w:eastAsia="Calibri" w:cstheme="minorHAnsi"/>
        </w:rPr>
        <w:t xml:space="preserve">, </w:t>
      </w:r>
      <w:r w:rsidRPr="001C0903">
        <w:rPr>
          <w:rFonts w:eastAsia="Calibri" w:cstheme="minorHAnsi"/>
          <w:b/>
          <w:bCs/>
        </w:rPr>
        <w:t>4</w:t>
      </w:r>
      <w:r w:rsidRPr="001C0903">
        <w:rPr>
          <w:rFonts w:eastAsia="Calibri" w:cstheme="minorHAnsi"/>
        </w:rPr>
        <w:t xml:space="preserve">:10119, </w:t>
      </w:r>
      <w:hyperlink r:id="rId29" w:history="1">
        <w:r w:rsidRPr="001C0903">
          <w:rPr>
            <w:rStyle w:val="Hyperlink"/>
            <w:rFonts w:eastAsia="Calibri" w:cstheme="minorHAnsi"/>
          </w:rPr>
          <w:t>https://doi.org/10.3389/esss.2024.10119</w:t>
        </w:r>
        <w:bookmarkEnd w:id="0"/>
      </w:hyperlink>
      <w:r w:rsidRPr="001C0903">
        <w:rPr>
          <w:rFonts w:eastAsia="Calibri" w:cstheme="minorHAnsi"/>
        </w:rPr>
        <w:t>.</w:t>
      </w:r>
    </w:p>
    <w:p w14:paraId="4DF28150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0F4CD5">
        <w:t xml:space="preserve">Holliman, R., Smith, K., Khatwa, A., Warren, C., Araya, Y., Ansine, J. and Badger, M. (2023). ‘Exploring perspectives of minoritized community walking group leaders to make access to nature more equitable, diverse and inclusive.’ International PCST Conference, </w:t>
      </w:r>
      <w:r w:rsidRPr="000F4CD5">
        <w:rPr>
          <w:i/>
        </w:rPr>
        <w:t>Creating Common Ground</w:t>
      </w:r>
      <w:r w:rsidRPr="000F4CD5">
        <w:t xml:space="preserve">, Rotterdam, The Netherlands, 11-14 April, </w:t>
      </w:r>
      <w:hyperlink r:id="rId30" w:history="1">
        <w:r>
          <w:rPr>
            <w:rStyle w:val="Hyperlink"/>
            <w:rFonts w:eastAsia="Calibri" w:cstheme="minorHAnsi"/>
          </w:rPr>
          <w:t>https://oro.open.ac.uk/92375</w:t>
        </w:r>
      </w:hyperlink>
      <w:r>
        <w:rPr>
          <w:rFonts w:eastAsia="Calibri" w:cstheme="minorHAnsi"/>
        </w:rPr>
        <w:t>.</w:t>
      </w:r>
    </w:p>
    <w:p w14:paraId="6B57ADD4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Holliman, R., Marino, A., Grand, A., Berardi, A., Mistry, J., </w:t>
      </w:r>
      <w:proofErr w:type="spellStart"/>
      <w:r w:rsidRPr="00CD283E">
        <w:rPr>
          <w:rFonts w:eastAsia="Calibri" w:cstheme="minorHAnsi"/>
        </w:rPr>
        <w:t>Jafferally</w:t>
      </w:r>
      <w:proofErr w:type="spellEnd"/>
      <w:r w:rsidRPr="00CD283E">
        <w:rPr>
          <w:rFonts w:eastAsia="Calibri" w:cstheme="minorHAnsi"/>
        </w:rPr>
        <w:t xml:space="preserve">, D., Thomas, R., Roberts, G., Marcus, C.-A., </w:t>
      </w:r>
      <w:proofErr w:type="spellStart"/>
      <w:r w:rsidRPr="00CD283E">
        <w:rPr>
          <w:rFonts w:eastAsia="Calibri" w:cstheme="minorHAnsi"/>
        </w:rPr>
        <w:t>Roopsind</w:t>
      </w:r>
      <w:proofErr w:type="spellEnd"/>
      <w:r w:rsidRPr="00CD283E">
        <w:rPr>
          <w:rFonts w:eastAsia="Calibri" w:cstheme="minorHAnsi"/>
        </w:rPr>
        <w:t xml:space="preserve"> I. and Roberts A. (2022) ‘A case study from Guyana of adapting engaged research design to promote ‘fairness in knowing’’, </w:t>
      </w:r>
      <w:r w:rsidRPr="00CD283E">
        <w:rPr>
          <w:rFonts w:eastAsia="Calibri" w:cstheme="minorHAnsi"/>
          <w:i/>
          <w:iCs/>
        </w:rPr>
        <w:t>Research for All</w:t>
      </w:r>
      <w:r w:rsidRPr="00CD283E">
        <w:rPr>
          <w:rFonts w:eastAsia="Calibri" w:cstheme="minorHAnsi"/>
        </w:rPr>
        <w:t xml:space="preserve">, </w:t>
      </w:r>
      <w:r w:rsidRPr="00D85F01">
        <w:rPr>
          <w:rFonts w:eastAsia="Calibri" w:cstheme="minorHAnsi"/>
          <w:b/>
          <w:bCs/>
        </w:rPr>
        <w:t>6</w:t>
      </w:r>
      <w:r w:rsidRPr="00CD283E">
        <w:rPr>
          <w:rFonts w:eastAsia="Calibri" w:cstheme="minorHAnsi"/>
        </w:rPr>
        <w:t xml:space="preserve">(1), 1-17, </w:t>
      </w:r>
      <w:hyperlink r:id="rId31" w:history="1">
        <w:r w:rsidRPr="00CD283E">
          <w:rPr>
            <w:rStyle w:val="Hyperlink"/>
            <w:rFonts w:eastAsia="Calibri" w:cstheme="minorHAnsi"/>
          </w:rPr>
          <w:t>https://doi.org/10.14324/RFA.06.1.12</w:t>
        </w:r>
      </w:hyperlink>
      <w:r w:rsidRPr="00CD283E">
        <w:rPr>
          <w:rFonts w:eastAsia="Calibri" w:cstheme="minorHAnsi"/>
        </w:rPr>
        <w:t>.</w:t>
      </w:r>
    </w:p>
    <w:p w14:paraId="1DB4A111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cstheme="minorHAnsi"/>
        </w:rPr>
        <w:t xml:space="preserve">Holliman R. and Warren C. (2017). ‘Supporting future scholars of engaged research’. </w:t>
      </w:r>
      <w:r w:rsidRPr="00CD283E">
        <w:rPr>
          <w:rFonts w:cstheme="minorHAnsi"/>
          <w:i/>
          <w:iCs/>
        </w:rPr>
        <w:t>Research for All</w:t>
      </w:r>
      <w:r w:rsidRPr="00CD283E">
        <w:rPr>
          <w:rFonts w:cstheme="minorHAnsi"/>
        </w:rPr>
        <w:t xml:space="preserve">, </w:t>
      </w:r>
      <w:r w:rsidRPr="00CD283E">
        <w:rPr>
          <w:rFonts w:cstheme="minorHAnsi"/>
          <w:b/>
          <w:bCs/>
        </w:rPr>
        <w:t>1</w:t>
      </w:r>
      <w:r w:rsidRPr="00CD283E">
        <w:rPr>
          <w:rFonts w:cstheme="minorHAnsi"/>
        </w:rPr>
        <w:t>(1)</w:t>
      </w:r>
      <w:r>
        <w:rPr>
          <w:rFonts w:cstheme="minorHAnsi"/>
        </w:rPr>
        <w:t>,</w:t>
      </w:r>
      <w:r w:rsidRPr="00CD283E">
        <w:rPr>
          <w:rFonts w:cstheme="minorHAnsi"/>
        </w:rPr>
        <w:t xml:space="preserve"> 168–84, </w:t>
      </w:r>
      <w:hyperlink r:id="rId32" w:history="1">
        <w:r w:rsidRPr="00CD283E">
          <w:rPr>
            <w:rStyle w:val="Hyperlink"/>
            <w:rFonts w:cstheme="minorHAnsi"/>
          </w:rPr>
          <w:t>https://doi.org/10.18546/RFA.01.1.14</w:t>
        </w:r>
      </w:hyperlink>
      <w:r w:rsidRPr="00CD283E">
        <w:rPr>
          <w:rFonts w:cstheme="minorHAnsi"/>
        </w:rPr>
        <w:t>.</w:t>
      </w:r>
    </w:p>
    <w:p w14:paraId="3593D72D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Irwin, A. and Michael, M. (2003) </w:t>
      </w:r>
      <w:r w:rsidRPr="00CD283E">
        <w:rPr>
          <w:rFonts w:eastAsia="Calibri" w:cstheme="minorHAnsi"/>
          <w:i/>
          <w:iCs/>
        </w:rPr>
        <w:t>Science, Social Theory and Public Knowledge</w:t>
      </w:r>
      <w:r w:rsidRPr="00CD283E">
        <w:rPr>
          <w:rFonts w:eastAsia="Calibri" w:cstheme="minorHAnsi"/>
        </w:rPr>
        <w:t>. Maidenhead: Open University Press</w:t>
      </w:r>
      <w:r>
        <w:rPr>
          <w:rFonts w:eastAsia="Calibri" w:cstheme="minorHAnsi"/>
        </w:rPr>
        <w:t>.</w:t>
      </w:r>
    </w:p>
    <w:p w14:paraId="03B2B690" w14:textId="77777777" w:rsidR="003F2D4A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Jensen, E. and Holliman R. (2009) ‘Investigating science communication to inform science outreach and public engagement’. In: Holliman, R., et al., (Eds.) </w:t>
      </w:r>
      <w:r w:rsidRPr="00CD283E">
        <w:rPr>
          <w:rFonts w:eastAsia="Calibri" w:cstheme="minorHAnsi"/>
          <w:i/>
          <w:iCs/>
        </w:rPr>
        <w:t>Investigating science communication in the information age: Implications for public engagement and popular media</w:t>
      </w:r>
      <w:r w:rsidRPr="00CD283E">
        <w:rPr>
          <w:rFonts w:eastAsia="Calibri" w:cstheme="minorHAnsi"/>
        </w:rPr>
        <w:t>. Oxford: Oxford University Press, p</w:t>
      </w:r>
      <w:r>
        <w:rPr>
          <w:rFonts w:eastAsia="Calibri" w:cstheme="minorHAnsi"/>
        </w:rPr>
        <w:t>p</w:t>
      </w:r>
      <w:r w:rsidRPr="00CD283E">
        <w:rPr>
          <w:rFonts w:eastAsia="Calibri" w:cstheme="minorHAnsi"/>
        </w:rPr>
        <w:t>. 55–71.</w:t>
      </w:r>
    </w:p>
    <w:p w14:paraId="63751D77" w14:textId="77777777" w:rsidR="003152E8" w:rsidRPr="008E6DA2" w:rsidRDefault="003152E8" w:rsidP="003152E8">
      <w:r>
        <w:lastRenderedPageBreak/>
        <w:t xml:space="preserve">Khatwa, A. (2025). </w:t>
      </w:r>
      <w:r w:rsidRPr="00FE4DF8">
        <w:rPr>
          <w:i/>
          <w:iCs/>
        </w:rPr>
        <w:t>The Whispers of Rock: Stories from the Earth</w:t>
      </w:r>
      <w:r>
        <w:t>. London: The Bridge Street Press.</w:t>
      </w:r>
    </w:p>
    <w:p w14:paraId="7A126449" w14:textId="77777777" w:rsidR="003F2D4A" w:rsidRPr="00CD283E" w:rsidRDefault="003F2D4A" w:rsidP="003F2D4A">
      <w:pPr>
        <w:spacing w:after="120" w:line="240" w:lineRule="auto"/>
        <w:ind w:left="397" w:hanging="397"/>
        <w:rPr>
          <w:rFonts w:cstheme="minorHAnsi"/>
        </w:rPr>
      </w:pPr>
      <w:r w:rsidRPr="00CD283E">
        <w:rPr>
          <w:rFonts w:cstheme="minorHAnsi"/>
        </w:rPr>
        <w:t xml:space="preserve">Khatwa, A. (2019) ‘Resonance in rocks: Building a sustainable learning and engagement programme for the Jurassic Coast’, </w:t>
      </w:r>
      <w:r w:rsidRPr="00CD283E">
        <w:rPr>
          <w:rFonts w:cstheme="minorHAnsi"/>
          <w:i/>
          <w:iCs/>
        </w:rPr>
        <w:t>Proceedings of the Geologists' Association</w:t>
      </w:r>
      <w:r w:rsidRPr="00CD283E">
        <w:rPr>
          <w:rFonts w:cstheme="minorHAnsi"/>
        </w:rPr>
        <w:t xml:space="preserve">, </w:t>
      </w:r>
      <w:r w:rsidRPr="00D85F01">
        <w:rPr>
          <w:rFonts w:cstheme="minorHAnsi"/>
          <w:b/>
          <w:bCs/>
        </w:rPr>
        <w:t>130</w:t>
      </w:r>
      <w:r>
        <w:rPr>
          <w:rFonts w:cstheme="minorHAnsi"/>
        </w:rPr>
        <w:t>(</w:t>
      </w:r>
      <w:r w:rsidRPr="00CD283E">
        <w:rPr>
          <w:rFonts w:cstheme="minorHAnsi"/>
        </w:rPr>
        <w:t>3–4</w:t>
      </w:r>
      <w:r>
        <w:rPr>
          <w:rFonts w:cstheme="minorHAnsi"/>
        </w:rPr>
        <w:t>)</w:t>
      </w:r>
      <w:r w:rsidRPr="00CD283E">
        <w:rPr>
          <w:rFonts w:cstheme="minorHAnsi"/>
        </w:rPr>
        <w:t xml:space="preserve">, 507-21, </w:t>
      </w:r>
      <w:hyperlink r:id="rId33" w:history="1">
        <w:r w:rsidRPr="003F4A7B">
          <w:rPr>
            <w:rStyle w:val="Hyperlink"/>
            <w:rFonts w:cstheme="minorHAnsi"/>
          </w:rPr>
          <w:t>https://doi.org/10.1016/j.pgeola.2018.10.003</w:t>
        </w:r>
      </w:hyperlink>
      <w:r w:rsidRPr="00CD283E">
        <w:rPr>
          <w:rFonts w:cstheme="minorHAnsi"/>
        </w:rPr>
        <w:t xml:space="preserve">. </w:t>
      </w:r>
    </w:p>
    <w:p w14:paraId="2E9E4AA4" w14:textId="77777777" w:rsidR="003F2D4A" w:rsidRPr="00CD283E" w:rsidRDefault="003F2D4A" w:rsidP="003F2D4A">
      <w:pPr>
        <w:spacing w:after="120" w:line="240" w:lineRule="auto"/>
        <w:ind w:left="397" w:hanging="397"/>
        <w:rPr>
          <w:rFonts w:eastAsia="Calibri" w:cstheme="minorHAnsi"/>
        </w:rPr>
      </w:pPr>
      <w:proofErr w:type="spellStart"/>
      <w:r w:rsidRPr="00CD283E">
        <w:rPr>
          <w:rFonts w:eastAsia="Calibri" w:cstheme="minorHAnsi"/>
        </w:rPr>
        <w:t>Miljand</w:t>
      </w:r>
      <w:proofErr w:type="spellEnd"/>
      <w:r w:rsidRPr="00CD283E">
        <w:rPr>
          <w:rFonts w:eastAsia="Calibri" w:cstheme="minorHAnsi"/>
        </w:rPr>
        <w:t xml:space="preserve">, M. (2020) ‘Using systematic review methods to evaluate environmental public policy: methodological challenges and potential usefulness’, </w:t>
      </w:r>
      <w:r w:rsidRPr="00CD283E">
        <w:rPr>
          <w:rFonts w:eastAsia="Calibri" w:cstheme="minorHAnsi"/>
          <w:i/>
          <w:iCs/>
        </w:rPr>
        <w:t>Environmental Science and Policy</w:t>
      </w:r>
      <w:r w:rsidRPr="00CD283E">
        <w:rPr>
          <w:rFonts w:eastAsia="Calibri" w:cstheme="minorHAnsi"/>
        </w:rPr>
        <w:t xml:space="preserve">, </w:t>
      </w:r>
      <w:r w:rsidRPr="00D85F01">
        <w:rPr>
          <w:rFonts w:eastAsia="Calibri" w:cstheme="minorHAnsi"/>
          <w:b/>
          <w:bCs/>
        </w:rPr>
        <w:t>105</w:t>
      </w:r>
      <w:r w:rsidRPr="00CD283E">
        <w:rPr>
          <w:rFonts w:eastAsia="Calibri" w:cstheme="minorHAnsi"/>
        </w:rPr>
        <w:t xml:space="preserve">, 47-55, </w:t>
      </w:r>
      <w:hyperlink r:id="rId34" w:history="1">
        <w:r w:rsidRPr="00CD283E">
          <w:rPr>
            <w:rFonts w:eastAsia="Calibri" w:cstheme="minorHAnsi"/>
            <w:color w:val="0563C1"/>
            <w:u w:val="single"/>
          </w:rPr>
          <w:t>https://doi.org/10.1016/j.envsci.2019.12.008</w:t>
        </w:r>
      </w:hyperlink>
      <w:r w:rsidRPr="00CD283E">
        <w:rPr>
          <w:rFonts w:eastAsia="Calibri" w:cstheme="minorHAnsi"/>
        </w:rPr>
        <w:t>.</w:t>
      </w:r>
    </w:p>
    <w:p w14:paraId="09A254D1" w14:textId="77777777" w:rsidR="003F2D4A" w:rsidRPr="00CD283E" w:rsidRDefault="003F2D4A" w:rsidP="003F2D4A">
      <w:pPr>
        <w:tabs>
          <w:tab w:val="left" w:pos="449"/>
        </w:tabs>
        <w:spacing w:after="120" w:line="240" w:lineRule="auto"/>
        <w:ind w:left="397" w:hanging="397"/>
        <w:rPr>
          <w:rFonts w:eastAsia="Calibri" w:cstheme="minorHAnsi"/>
        </w:rPr>
      </w:pPr>
      <w:r w:rsidRPr="00CD283E">
        <w:rPr>
          <w:rFonts w:eastAsia="Calibri" w:cstheme="minorHAnsi"/>
        </w:rPr>
        <w:t xml:space="preserve">NERC (2021) </w:t>
      </w:r>
      <w:r w:rsidRPr="00CD283E">
        <w:rPr>
          <w:rFonts w:eastAsia="Calibri" w:cstheme="minorHAnsi"/>
          <w:i/>
          <w:iCs/>
        </w:rPr>
        <w:t>Advancing equity, diversity and inclusivity in the environmental sciences</w:t>
      </w:r>
      <w:r w:rsidRPr="00CD283E">
        <w:rPr>
          <w:rFonts w:eastAsia="Calibri" w:cstheme="minorHAnsi"/>
        </w:rPr>
        <w:t>. NERC: Swindon</w:t>
      </w:r>
      <w:r>
        <w:rPr>
          <w:rFonts w:eastAsia="Calibri" w:cstheme="minorHAnsi"/>
        </w:rPr>
        <w:t xml:space="preserve">, </w:t>
      </w:r>
      <w:hyperlink r:id="rId35" w:history="1">
        <w:r w:rsidRPr="00CD283E">
          <w:rPr>
            <w:rStyle w:val="Hyperlink"/>
            <w:rFonts w:eastAsia="Calibri" w:cstheme="minorHAnsi"/>
          </w:rPr>
          <w:t>https://www.ukri.org/publications/advancing-equity-diversity-and-inclusivity-in-the-environmental-sciences</w:t>
        </w:r>
      </w:hyperlink>
      <w:r>
        <w:rPr>
          <w:rFonts w:eastAsia="Calibri" w:cstheme="minorHAnsi"/>
        </w:rPr>
        <w:t>.</w:t>
      </w:r>
    </w:p>
    <w:p w14:paraId="339C843C" w14:textId="77777777" w:rsidR="003F2D4A" w:rsidRDefault="003F2D4A" w:rsidP="003F2D4A">
      <w:pPr>
        <w:ind w:left="720" w:hanging="720"/>
        <w:rPr>
          <w:bCs/>
        </w:rPr>
      </w:pPr>
      <w:proofErr w:type="spellStart"/>
      <w:r w:rsidRPr="00560517">
        <w:rPr>
          <w:bCs/>
        </w:rPr>
        <w:t>Qwynne</w:t>
      </w:r>
      <w:proofErr w:type="spellEnd"/>
      <w:r w:rsidRPr="00560517">
        <w:rPr>
          <w:bCs/>
        </w:rPr>
        <w:t xml:space="preserve"> Lackey</w:t>
      </w:r>
      <w:r>
        <w:rPr>
          <w:bCs/>
        </w:rPr>
        <w:t xml:space="preserve"> N.</w:t>
      </w:r>
      <w:r w:rsidRPr="00560517">
        <w:rPr>
          <w:bCs/>
        </w:rPr>
        <w:t>, Tysor</w:t>
      </w:r>
      <w:r>
        <w:rPr>
          <w:bCs/>
        </w:rPr>
        <w:t xml:space="preserve"> D.A</w:t>
      </w:r>
      <w:r w:rsidRPr="00560517">
        <w:rPr>
          <w:bCs/>
        </w:rPr>
        <w:t>, McNay</w:t>
      </w:r>
      <w:r>
        <w:rPr>
          <w:bCs/>
        </w:rPr>
        <w:t xml:space="preserve"> G.D.</w:t>
      </w:r>
      <w:r w:rsidRPr="00560517">
        <w:rPr>
          <w:bCs/>
        </w:rPr>
        <w:t>, Joyner</w:t>
      </w:r>
      <w:r>
        <w:rPr>
          <w:bCs/>
        </w:rPr>
        <w:t xml:space="preserve"> L.</w:t>
      </w:r>
      <w:r w:rsidRPr="00560517">
        <w:rPr>
          <w:bCs/>
        </w:rPr>
        <w:t>, Baker</w:t>
      </w:r>
      <w:r>
        <w:rPr>
          <w:bCs/>
        </w:rPr>
        <w:t xml:space="preserve"> K.H. and C.</w:t>
      </w:r>
      <w:r w:rsidRPr="00560517">
        <w:rPr>
          <w:bCs/>
        </w:rPr>
        <w:t xml:space="preserve"> Hodge (2021) </w:t>
      </w:r>
      <w:r>
        <w:rPr>
          <w:bCs/>
        </w:rPr>
        <w:t>‘</w:t>
      </w:r>
      <w:r w:rsidRPr="00560517">
        <w:rPr>
          <w:bCs/>
        </w:rPr>
        <w:t>Mental health benefits of nature</w:t>
      </w:r>
      <w:r>
        <w:rPr>
          <w:bCs/>
        </w:rPr>
        <w:t>-</w:t>
      </w:r>
      <w:r w:rsidRPr="00560517">
        <w:rPr>
          <w:bCs/>
        </w:rPr>
        <w:t>based recreation: a systematic review</w:t>
      </w:r>
      <w:r>
        <w:rPr>
          <w:bCs/>
        </w:rPr>
        <w:t>’</w:t>
      </w:r>
      <w:r w:rsidRPr="00560517">
        <w:rPr>
          <w:bCs/>
        </w:rPr>
        <w:t xml:space="preserve">, </w:t>
      </w:r>
      <w:r w:rsidRPr="00560517">
        <w:rPr>
          <w:bCs/>
          <w:i/>
          <w:iCs/>
        </w:rPr>
        <w:t>Annals of Leisure Research</w:t>
      </w:r>
      <w:r w:rsidRPr="00560517">
        <w:rPr>
          <w:bCs/>
        </w:rPr>
        <w:t xml:space="preserve">, </w:t>
      </w:r>
      <w:r w:rsidRPr="00944E28">
        <w:rPr>
          <w:b/>
        </w:rPr>
        <w:t>24</w:t>
      </w:r>
      <w:r>
        <w:rPr>
          <w:bCs/>
        </w:rPr>
        <w:t>(</w:t>
      </w:r>
      <w:r w:rsidRPr="00560517">
        <w:rPr>
          <w:bCs/>
        </w:rPr>
        <w:t>3</w:t>
      </w:r>
      <w:r>
        <w:rPr>
          <w:bCs/>
        </w:rPr>
        <w:t>)</w:t>
      </w:r>
      <w:r w:rsidRPr="00560517">
        <w:rPr>
          <w:bCs/>
        </w:rPr>
        <w:t>, 379-93,</w:t>
      </w:r>
      <w:r>
        <w:rPr>
          <w:bCs/>
        </w:rPr>
        <w:t xml:space="preserve"> </w:t>
      </w:r>
      <w:hyperlink r:id="rId36" w:history="1">
        <w:r w:rsidRPr="002C2186">
          <w:rPr>
            <w:rStyle w:val="Hyperlink"/>
            <w:bCs/>
          </w:rPr>
          <w:t>https://doi.org/10.1080/11745398.2019.1655459</w:t>
        </w:r>
      </w:hyperlink>
      <w:r>
        <w:rPr>
          <w:bCs/>
        </w:rPr>
        <w:t>.</w:t>
      </w:r>
    </w:p>
    <w:p w14:paraId="1689AF04" w14:textId="77777777" w:rsidR="003F2D4A" w:rsidRPr="001C0903" w:rsidRDefault="003F2D4A" w:rsidP="003F2D4A">
      <w:pPr>
        <w:ind w:left="720" w:hanging="720"/>
        <w:rPr>
          <w:b/>
          <w:bCs/>
        </w:rPr>
      </w:pPr>
      <w:r w:rsidRPr="001C0903">
        <w:rPr>
          <w:bCs/>
        </w:rPr>
        <w:t xml:space="preserve">Reed, M.S., Merkle, B.G., Cook, E.J., Hafferty, C., Hejnowicz, A.P., Holliman, R., et al. (2024). Reimagining the language of engagement in a post-stakeholder world. </w:t>
      </w:r>
      <w:r w:rsidRPr="001C0903">
        <w:rPr>
          <w:bCs/>
          <w:i/>
          <w:iCs/>
        </w:rPr>
        <w:t>Sustainability Science</w:t>
      </w:r>
      <w:r w:rsidRPr="001C0903">
        <w:rPr>
          <w:bCs/>
        </w:rPr>
        <w:t xml:space="preserve">, </w:t>
      </w:r>
      <w:r w:rsidRPr="001C0903">
        <w:rPr>
          <w:b/>
          <w:bCs/>
        </w:rPr>
        <w:t>11</w:t>
      </w:r>
      <w:r w:rsidRPr="001C0903">
        <w:rPr>
          <w:bCs/>
        </w:rPr>
        <w:t>(3),</w:t>
      </w:r>
      <w:r>
        <w:rPr>
          <w:bCs/>
        </w:rPr>
        <w:t xml:space="preserve"> 1481-90,</w:t>
      </w:r>
      <w:r w:rsidRPr="001C0903">
        <w:rPr>
          <w:bCs/>
        </w:rPr>
        <w:t xml:space="preserve"> </w:t>
      </w:r>
      <w:hyperlink r:id="rId37" w:history="1">
        <w:r w:rsidRPr="001C0903">
          <w:rPr>
            <w:rStyle w:val="Hyperlink"/>
            <w:bCs/>
          </w:rPr>
          <w:t>https://doi.org/10.1007/s11625-024-01496-4</w:t>
        </w:r>
      </w:hyperlink>
      <w:r w:rsidRPr="001C0903">
        <w:rPr>
          <w:bCs/>
        </w:rPr>
        <w:t>.</w:t>
      </w:r>
    </w:p>
    <w:p w14:paraId="1598981A" w14:textId="0E573BB9" w:rsidR="003F2D4A" w:rsidRPr="00CD283E" w:rsidRDefault="003F2D4A" w:rsidP="003F2D4A">
      <w:pPr>
        <w:tabs>
          <w:tab w:val="left" w:pos="449"/>
        </w:tabs>
        <w:spacing w:after="120" w:line="240" w:lineRule="auto"/>
        <w:ind w:left="397" w:hanging="397"/>
        <w:rPr>
          <w:rFonts w:eastAsia="Calibri" w:cstheme="minorHAnsi"/>
        </w:rPr>
      </w:pPr>
      <w:proofErr w:type="spellStart"/>
      <w:r w:rsidRPr="00B22607">
        <w:rPr>
          <w:bCs/>
        </w:rPr>
        <w:t>Saraev</w:t>
      </w:r>
      <w:proofErr w:type="spellEnd"/>
      <w:r w:rsidRPr="00B22607">
        <w:rPr>
          <w:bCs/>
        </w:rPr>
        <w:t xml:space="preserve"> V., O’Brien L., </w:t>
      </w:r>
      <w:proofErr w:type="spellStart"/>
      <w:r w:rsidRPr="00B22607">
        <w:rPr>
          <w:bCs/>
        </w:rPr>
        <w:t>Valatin</w:t>
      </w:r>
      <w:proofErr w:type="spellEnd"/>
      <w:r w:rsidRPr="00B22607">
        <w:rPr>
          <w:bCs/>
        </w:rPr>
        <w:t xml:space="preserve"> G. and </w:t>
      </w:r>
      <w:proofErr w:type="spellStart"/>
      <w:r w:rsidRPr="00B22607">
        <w:rPr>
          <w:bCs/>
        </w:rPr>
        <w:t>Bursnell</w:t>
      </w:r>
      <w:proofErr w:type="spellEnd"/>
      <w:r>
        <w:rPr>
          <w:bCs/>
        </w:rPr>
        <w:t>,</w:t>
      </w:r>
      <w:r w:rsidRPr="00B22607">
        <w:rPr>
          <w:bCs/>
        </w:rPr>
        <w:t xml:space="preserve"> M. (2021) </w:t>
      </w:r>
      <w:r w:rsidRPr="00B22607">
        <w:rPr>
          <w:bCs/>
          <w:i/>
          <w:iCs/>
        </w:rPr>
        <w:t>Valuing the mental health benefits of woodlands</w:t>
      </w:r>
      <w:r w:rsidRPr="00B22607">
        <w:rPr>
          <w:bCs/>
        </w:rPr>
        <w:t>. Research Report. Forest Research, Edinburgh</w:t>
      </w:r>
      <w:r>
        <w:rPr>
          <w:bCs/>
        </w:rPr>
        <w:t xml:space="preserve">, </w:t>
      </w:r>
      <w:hyperlink r:id="rId38" w:history="1">
        <w:r w:rsidRPr="002C2186">
          <w:rPr>
            <w:rStyle w:val="Hyperlink"/>
            <w:bCs/>
          </w:rPr>
          <w:t>https://www.forestresearch.gov.uk/publications/valuing-the-mental-health-benefits-of-woodlands</w:t>
        </w:r>
      </w:hyperlink>
      <w:r>
        <w:rPr>
          <w:bCs/>
        </w:rPr>
        <w:t>.</w:t>
      </w:r>
    </w:p>
    <w:sectPr w:rsidR="003F2D4A" w:rsidRPr="00CD283E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C2D6" w14:textId="77777777" w:rsidR="00E2470E" w:rsidRDefault="00E2470E" w:rsidP="001D0E6E">
      <w:pPr>
        <w:spacing w:after="0" w:line="240" w:lineRule="auto"/>
      </w:pPr>
      <w:r>
        <w:separator/>
      </w:r>
    </w:p>
  </w:endnote>
  <w:endnote w:type="continuationSeparator" w:id="0">
    <w:p w14:paraId="0E64259B" w14:textId="77777777" w:rsidR="00E2470E" w:rsidRDefault="00E2470E" w:rsidP="001D0E6E">
      <w:pPr>
        <w:spacing w:after="0" w:line="240" w:lineRule="auto"/>
      </w:pPr>
      <w:r>
        <w:continuationSeparator/>
      </w:r>
    </w:p>
  </w:endnote>
  <w:endnote w:type="continuationNotice" w:id="1">
    <w:p w14:paraId="21A0617C" w14:textId="77777777" w:rsidR="00E2470E" w:rsidRDefault="00E24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6525" w14:textId="77777777" w:rsidR="00E2470E" w:rsidRDefault="00E2470E" w:rsidP="001D0E6E">
      <w:pPr>
        <w:spacing w:after="0" w:line="240" w:lineRule="auto"/>
      </w:pPr>
      <w:r>
        <w:separator/>
      </w:r>
    </w:p>
  </w:footnote>
  <w:footnote w:type="continuationSeparator" w:id="0">
    <w:p w14:paraId="7FE66C30" w14:textId="77777777" w:rsidR="00E2470E" w:rsidRDefault="00E2470E" w:rsidP="001D0E6E">
      <w:pPr>
        <w:spacing w:after="0" w:line="240" w:lineRule="auto"/>
      </w:pPr>
      <w:r>
        <w:continuationSeparator/>
      </w:r>
    </w:p>
  </w:footnote>
  <w:footnote w:type="continuationNotice" w:id="1">
    <w:p w14:paraId="0FCC6E4B" w14:textId="77777777" w:rsidR="00E2470E" w:rsidRDefault="00E2470E">
      <w:pPr>
        <w:spacing w:after="0" w:line="240" w:lineRule="auto"/>
      </w:pPr>
    </w:p>
  </w:footnote>
  <w:footnote w:id="2">
    <w:p w14:paraId="20BC8369" w14:textId="77777777" w:rsidR="00DB1D28" w:rsidRDefault="00DB1D28" w:rsidP="00DB1D28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2A0DBA">
        <w:t>By ‘minoritized’ we mean groups of people that have been, and continue to be, excluded and oppressed by dominant sections of society.</w:t>
      </w:r>
    </w:p>
  </w:footnote>
  <w:footnote w:id="3">
    <w:p w14:paraId="7B0A1082" w14:textId="77777777" w:rsidR="00DB1D28" w:rsidRDefault="00DB1D28" w:rsidP="00DB1D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28AA">
        <w:t>The term ‘stakeholder’ is widely used in this context, but “may inadvertently perpetuate colonial narratives and reinforce systemic inequities” (Reed et al., 2024</w:t>
      </w:r>
      <w:r>
        <w:t>: 1481</w:t>
      </w:r>
      <w:r w:rsidRPr="007A28AA">
        <w:t>). We have therefore used the term ‘constituencies.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6F50" w14:textId="27C6C803" w:rsidR="001D0E6E" w:rsidRDefault="00824F22" w:rsidP="001D0E6E">
    <w:pPr>
      <w:pStyle w:val="Header"/>
      <w:tabs>
        <w:tab w:val="clear" w:pos="4513"/>
        <w:tab w:val="clear" w:pos="9026"/>
        <w:tab w:val="left" w:pos="5055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60288" behindDoc="1" locked="0" layoutInCell="1" allowOverlap="1" wp14:anchorId="1B6D69C7" wp14:editId="6EC907D3">
          <wp:simplePos x="0" y="0"/>
          <wp:positionH relativeFrom="column">
            <wp:posOffset>3762375</wp:posOffset>
          </wp:positionH>
          <wp:positionV relativeFrom="paragraph">
            <wp:posOffset>-325755</wp:posOffset>
          </wp:positionV>
          <wp:extent cx="2486025" cy="636905"/>
          <wp:effectExtent l="0" t="0" r="9525" b="0"/>
          <wp:wrapTight wrapText="bothSides">
            <wp:wrapPolygon edited="0">
              <wp:start x="0" y="0"/>
              <wp:lineTo x="0" y="20674"/>
              <wp:lineTo x="21517" y="20674"/>
              <wp:lineTo x="215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EFA" w:rsidRPr="001D0E6E"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7216" behindDoc="1" locked="0" layoutInCell="1" allowOverlap="1" wp14:anchorId="5EB4EE20" wp14:editId="2BD4C6A7">
          <wp:simplePos x="0" y="0"/>
          <wp:positionH relativeFrom="column">
            <wp:posOffset>-171450</wp:posOffset>
          </wp:positionH>
          <wp:positionV relativeFrom="paragraph">
            <wp:posOffset>-430530</wp:posOffset>
          </wp:positionV>
          <wp:extent cx="1697355" cy="8858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E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52A"/>
    <w:multiLevelType w:val="hybridMultilevel"/>
    <w:tmpl w:val="2F66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4CD"/>
    <w:multiLevelType w:val="hybridMultilevel"/>
    <w:tmpl w:val="9BD4B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7536D"/>
    <w:multiLevelType w:val="multilevel"/>
    <w:tmpl w:val="95B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00532"/>
    <w:multiLevelType w:val="hybridMultilevel"/>
    <w:tmpl w:val="EBC0AB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561819">
    <w:abstractNumId w:val="0"/>
  </w:num>
  <w:num w:numId="2" w16cid:durableId="1630354121">
    <w:abstractNumId w:val="1"/>
  </w:num>
  <w:num w:numId="3" w16cid:durableId="2142767157">
    <w:abstractNumId w:val="2"/>
  </w:num>
  <w:num w:numId="4" w16cid:durableId="342782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6E"/>
    <w:rsid w:val="00014B18"/>
    <w:rsid w:val="00041C87"/>
    <w:rsid w:val="0004260C"/>
    <w:rsid w:val="0005240C"/>
    <w:rsid w:val="0009224F"/>
    <w:rsid w:val="0017218C"/>
    <w:rsid w:val="001A1B7C"/>
    <w:rsid w:val="001C6AA2"/>
    <w:rsid w:val="001C7777"/>
    <w:rsid w:val="001D0E6E"/>
    <w:rsid w:val="001D2ACA"/>
    <w:rsid w:val="001F0AEC"/>
    <w:rsid w:val="00216941"/>
    <w:rsid w:val="00222A7D"/>
    <w:rsid w:val="0026062A"/>
    <w:rsid w:val="00272563"/>
    <w:rsid w:val="0027593F"/>
    <w:rsid w:val="00285F59"/>
    <w:rsid w:val="002E3DA0"/>
    <w:rsid w:val="002F59F2"/>
    <w:rsid w:val="003152E8"/>
    <w:rsid w:val="003201EE"/>
    <w:rsid w:val="00352FC7"/>
    <w:rsid w:val="0035307B"/>
    <w:rsid w:val="00381672"/>
    <w:rsid w:val="00391900"/>
    <w:rsid w:val="003B5231"/>
    <w:rsid w:val="003E690B"/>
    <w:rsid w:val="003F2D4A"/>
    <w:rsid w:val="004118C1"/>
    <w:rsid w:val="0043079D"/>
    <w:rsid w:val="00451E29"/>
    <w:rsid w:val="00453F84"/>
    <w:rsid w:val="004559B4"/>
    <w:rsid w:val="004630D2"/>
    <w:rsid w:val="004633EE"/>
    <w:rsid w:val="00486F70"/>
    <w:rsid w:val="004A2D68"/>
    <w:rsid w:val="004B6D92"/>
    <w:rsid w:val="0050566E"/>
    <w:rsid w:val="00536730"/>
    <w:rsid w:val="00554BA6"/>
    <w:rsid w:val="00557A01"/>
    <w:rsid w:val="00577135"/>
    <w:rsid w:val="005A3223"/>
    <w:rsid w:val="005A4AAA"/>
    <w:rsid w:val="005C5FFC"/>
    <w:rsid w:val="005C65A1"/>
    <w:rsid w:val="005D7220"/>
    <w:rsid w:val="005F689C"/>
    <w:rsid w:val="00602BAE"/>
    <w:rsid w:val="0060301D"/>
    <w:rsid w:val="0065696A"/>
    <w:rsid w:val="00690802"/>
    <w:rsid w:val="006C0064"/>
    <w:rsid w:val="006D476D"/>
    <w:rsid w:val="006F0BB1"/>
    <w:rsid w:val="00712376"/>
    <w:rsid w:val="007453B3"/>
    <w:rsid w:val="00753953"/>
    <w:rsid w:val="00786872"/>
    <w:rsid w:val="00791A5A"/>
    <w:rsid w:val="007D22F2"/>
    <w:rsid w:val="00824F22"/>
    <w:rsid w:val="00827514"/>
    <w:rsid w:val="008475D2"/>
    <w:rsid w:val="008515C0"/>
    <w:rsid w:val="00856984"/>
    <w:rsid w:val="00857959"/>
    <w:rsid w:val="008A0FD1"/>
    <w:rsid w:val="008E1330"/>
    <w:rsid w:val="008E2AD1"/>
    <w:rsid w:val="0094743B"/>
    <w:rsid w:val="009566DE"/>
    <w:rsid w:val="00998BC0"/>
    <w:rsid w:val="009A4C7D"/>
    <w:rsid w:val="009D7EFA"/>
    <w:rsid w:val="00A04693"/>
    <w:rsid w:val="00A1073A"/>
    <w:rsid w:val="00A21216"/>
    <w:rsid w:val="00A22A5B"/>
    <w:rsid w:val="00AD7F8A"/>
    <w:rsid w:val="00AF5BBC"/>
    <w:rsid w:val="00B726FA"/>
    <w:rsid w:val="00B86585"/>
    <w:rsid w:val="00B908FD"/>
    <w:rsid w:val="00C1048F"/>
    <w:rsid w:val="00C65E58"/>
    <w:rsid w:val="00C6662E"/>
    <w:rsid w:val="00CA639D"/>
    <w:rsid w:val="00CF7700"/>
    <w:rsid w:val="00D26FE7"/>
    <w:rsid w:val="00D45FC6"/>
    <w:rsid w:val="00D641F1"/>
    <w:rsid w:val="00DA5538"/>
    <w:rsid w:val="00DB1D28"/>
    <w:rsid w:val="00E11B26"/>
    <w:rsid w:val="00E2470E"/>
    <w:rsid w:val="00E91E36"/>
    <w:rsid w:val="00E96870"/>
    <w:rsid w:val="00EC01A2"/>
    <w:rsid w:val="00EE1FF2"/>
    <w:rsid w:val="00EF73C2"/>
    <w:rsid w:val="00F01B4F"/>
    <w:rsid w:val="00F07FDC"/>
    <w:rsid w:val="00F2FFDD"/>
    <w:rsid w:val="00F8043E"/>
    <w:rsid w:val="00FB69D7"/>
    <w:rsid w:val="00FC4558"/>
    <w:rsid w:val="00FC6E59"/>
    <w:rsid w:val="00FC7F26"/>
    <w:rsid w:val="02912EB9"/>
    <w:rsid w:val="0364F119"/>
    <w:rsid w:val="03ACF898"/>
    <w:rsid w:val="03B47A0D"/>
    <w:rsid w:val="03E3CC78"/>
    <w:rsid w:val="0517CC4F"/>
    <w:rsid w:val="06733C82"/>
    <w:rsid w:val="073D0858"/>
    <w:rsid w:val="084CB749"/>
    <w:rsid w:val="09DEB166"/>
    <w:rsid w:val="0A472780"/>
    <w:rsid w:val="0A95FCC6"/>
    <w:rsid w:val="0B1D8498"/>
    <w:rsid w:val="0B49C17C"/>
    <w:rsid w:val="0C608EED"/>
    <w:rsid w:val="10CA8FA5"/>
    <w:rsid w:val="10E7A1D4"/>
    <w:rsid w:val="10ECC48A"/>
    <w:rsid w:val="16489813"/>
    <w:rsid w:val="16AC8BF1"/>
    <w:rsid w:val="1941776A"/>
    <w:rsid w:val="19BC2DE9"/>
    <w:rsid w:val="1B0D3A4B"/>
    <w:rsid w:val="1BA0EE70"/>
    <w:rsid w:val="1BA5C731"/>
    <w:rsid w:val="1BFD2001"/>
    <w:rsid w:val="1C25E9EC"/>
    <w:rsid w:val="1CE46503"/>
    <w:rsid w:val="1E261FC0"/>
    <w:rsid w:val="1EA938C0"/>
    <w:rsid w:val="1F0C150D"/>
    <w:rsid w:val="1F7F19BD"/>
    <w:rsid w:val="2146EA4E"/>
    <w:rsid w:val="2154D15D"/>
    <w:rsid w:val="21764A6F"/>
    <w:rsid w:val="218D55F4"/>
    <w:rsid w:val="22306E31"/>
    <w:rsid w:val="22417D38"/>
    <w:rsid w:val="2272FFE0"/>
    <w:rsid w:val="228CA8F1"/>
    <w:rsid w:val="2291031B"/>
    <w:rsid w:val="22A1230F"/>
    <w:rsid w:val="22C87678"/>
    <w:rsid w:val="22DA3459"/>
    <w:rsid w:val="2397C8BA"/>
    <w:rsid w:val="246843EC"/>
    <w:rsid w:val="24D408DB"/>
    <w:rsid w:val="2501A2B7"/>
    <w:rsid w:val="2654A9C4"/>
    <w:rsid w:val="2736C556"/>
    <w:rsid w:val="27A8C134"/>
    <w:rsid w:val="28D93471"/>
    <w:rsid w:val="294ADC25"/>
    <w:rsid w:val="297E2071"/>
    <w:rsid w:val="2A78EE0D"/>
    <w:rsid w:val="2ADBA0B4"/>
    <w:rsid w:val="2BD34EEF"/>
    <w:rsid w:val="2D0CED41"/>
    <w:rsid w:val="2F08C5E5"/>
    <w:rsid w:val="2F2D4067"/>
    <w:rsid w:val="2F3C91DD"/>
    <w:rsid w:val="2FA918C1"/>
    <w:rsid w:val="2FE6E409"/>
    <w:rsid w:val="2FF038B6"/>
    <w:rsid w:val="306B0828"/>
    <w:rsid w:val="30EA975B"/>
    <w:rsid w:val="324876B0"/>
    <w:rsid w:val="328EC9F6"/>
    <w:rsid w:val="32BDE7A4"/>
    <w:rsid w:val="3474C15B"/>
    <w:rsid w:val="347E1752"/>
    <w:rsid w:val="34FADDA4"/>
    <w:rsid w:val="35452F03"/>
    <w:rsid w:val="3581F0BB"/>
    <w:rsid w:val="35E3FC84"/>
    <w:rsid w:val="36D4FCEF"/>
    <w:rsid w:val="37FD237D"/>
    <w:rsid w:val="389FF9EA"/>
    <w:rsid w:val="396F7B23"/>
    <w:rsid w:val="3B10F600"/>
    <w:rsid w:val="3B3AE3FB"/>
    <w:rsid w:val="3C95891E"/>
    <w:rsid w:val="3E24BC90"/>
    <w:rsid w:val="3EC7C4EE"/>
    <w:rsid w:val="4078060C"/>
    <w:rsid w:val="40FCC0D8"/>
    <w:rsid w:val="4120FD58"/>
    <w:rsid w:val="41589F4F"/>
    <w:rsid w:val="417A791E"/>
    <w:rsid w:val="42F0CEEF"/>
    <w:rsid w:val="4446F35B"/>
    <w:rsid w:val="44E176DA"/>
    <w:rsid w:val="46C2F7D4"/>
    <w:rsid w:val="46E65296"/>
    <w:rsid w:val="4B3AA004"/>
    <w:rsid w:val="4C61B63E"/>
    <w:rsid w:val="4C7EF462"/>
    <w:rsid w:val="4CC23FDE"/>
    <w:rsid w:val="4CCAC168"/>
    <w:rsid w:val="4D19E7E2"/>
    <w:rsid w:val="4D3C6053"/>
    <w:rsid w:val="4D827417"/>
    <w:rsid w:val="4DD137D0"/>
    <w:rsid w:val="4F9DC468"/>
    <w:rsid w:val="50B36AC8"/>
    <w:rsid w:val="529B1347"/>
    <w:rsid w:val="53ED171B"/>
    <w:rsid w:val="54DCCF61"/>
    <w:rsid w:val="54F3706C"/>
    <w:rsid w:val="554BEDFD"/>
    <w:rsid w:val="55A98F16"/>
    <w:rsid w:val="55C589FF"/>
    <w:rsid w:val="56242305"/>
    <w:rsid w:val="5634F470"/>
    <w:rsid w:val="564E93CF"/>
    <w:rsid w:val="56EA1968"/>
    <w:rsid w:val="573A3FD4"/>
    <w:rsid w:val="58DFACFF"/>
    <w:rsid w:val="5923C771"/>
    <w:rsid w:val="59FB3170"/>
    <w:rsid w:val="5ADBF09B"/>
    <w:rsid w:val="5B03FBA0"/>
    <w:rsid w:val="5B41D54B"/>
    <w:rsid w:val="5B657791"/>
    <w:rsid w:val="5B94617E"/>
    <w:rsid w:val="5B9B8478"/>
    <w:rsid w:val="5C944101"/>
    <w:rsid w:val="5CA09A86"/>
    <w:rsid w:val="5D30D8AA"/>
    <w:rsid w:val="5D504AA8"/>
    <w:rsid w:val="5E3DA5BA"/>
    <w:rsid w:val="5EE17C02"/>
    <w:rsid w:val="5EEC1B09"/>
    <w:rsid w:val="5F5DDE84"/>
    <w:rsid w:val="5FF87637"/>
    <w:rsid w:val="602F87EF"/>
    <w:rsid w:val="60AA9680"/>
    <w:rsid w:val="60F3AD4D"/>
    <w:rsid w:val="61506C20"/>
    <w:rsid w:val="624A9F0A"/>
    <w:rsid w:val="62F839D6"/>
    <w:rsid w:val="636C73D8"/>
    <w:rsid w:val="6428C7E2"/>
    <w:rsid w:val="65CE0782"/>
    <w:rsid w:val="66467E4A"/>
    <w:rsid w:val="6728BDC2"/>
    <w:rsid w:val="676902E6"/>
    <w:rsid w:val="683BF7AF"/>
    <w:rsid w:val="684F983D"/>
    <w:rsid w:val="6A408DBC"/>
    <w:rsid w:val="6B54D310"/>
    <w:rsid w:val="6BD07AFB"/>
    <w:rsid w:val="6E4A194C"/>
    <w:rsid w:val="6E7326EF"/>
    <w:rsid w:val="6F849C25"/>
    <w:rsid w:val="703B724A"/>
    <w:rsid w:val="7044AABD"/>
    <w:rsid w:val="7055D964"/>
    <w:rsid w:val="70B125DE"/>
    <w:rsid w:val="71695E92"/>
    <w:rsid w:val="717A1510"/>
    <w:rsid w:val="72B7AB95"/>
    <w:rsid w:val="72DB8DDE"/>
    <w:rsid w:val="75DEEB0F"/>
    <w:rsid w:val="767971DF"/>
    <w:rsid w:val="792FD0EB"/>
    <w:rsid w:val="79383C22"/>
    <w:rsid w:val="793F8F09"/>
    <w:rsid w:val="7A099AC2"/>
    <w:rsid w:val="7BF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1DB9"/>
  <w15:chartTrackingRefBased/>
  <w15:docId w15:val="{6CEDD9C7-416B-4417-A3B4-79EA15B2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6E"/>
  </w:style>
  <w:style w:type="paragraph" w:styleId="Footer">
    <w:name w:val="footer"/>
    <w:basedOn w:val="Normal"/>
    <w:link w:val="FooterChar"/>
    <w:uiPriority w:val="99"/>
    <w:unhideWhenUsed/>
    <w:rsid w:val="001D0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6E"/>
  </w:style>
  <w:style w:type="table" w:styleId="TableGrid">
    <w:name w:val="Table Grid"/>
    <w:basedOn w:val="TableNormal"/>
    <w:uiPriority w:val="39"/>
    <w:rsid w:val="001D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301D"/>
    <w:rPr>
      <w:color w:val="808080"/>
    </w:rPr>
  </w:style>
  <w:style w:type="character" w:customStyle="1" w:styleId="Style1">
    <w:name w:val="Style1"/>
    <w:basedOn w:val="DefaultParagraphFont"/>
    <w:uiPriority w:val="1"/>
    <w:rsid w:val="00557A01"/>
  </w:style>
  <w:style w:type="character" w:customStyle="1" w:styleId="Heading1Char">
    <w:name w:val="Heading 1 Char"/>
    <w:basedOn w:val="DefaultParagraphFont"/>
    <w:link w:val="Heading1"/>
    <w:uiPriority w:val="9"/>
    <w:rsid w:val="0055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1B2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C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92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D47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cus.Badger@open.ac.uk" TargetMode="External"/><Relationship Id="rId18" Type="http://schemas.openxmlformats.org/officeDocument/2006/relationships/hyperlink" Target="https://www.chilternsaonb.org/news/542/19/Dadimas-Countryside-Walks-Talks-2022-Programme.html" TargetMode="External"/><Relationship Id="rId26" Type="http://schemas.openxmlformats.org/officeDocument/2006/relationships/hyperlink" Target="https://oro.open.ac.uk/48707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theconversation.com/indian-summer-monsoon-amplified-global-warming-130-000-years-ago-helping-end-ice-age-113504" TargetMode="External"/><Relationship Id="rId34" Type="http://schemas.openxmlformats.org/officeDocument/2006/relationships/hyperlink" Target="https://doi.org/10.1016/j.envsci.2019.12.008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ac.uk/stem/environment-earth-ecosystem-sciences/node/222" TargetMode="External"/><Relationship Id="rId20" Type="http://schemas.openxmlformats.org/officeDocument/2006/relationships/hyperlink" Target="https://post.parliament.uk/research-briefings/post-pn-0667/?utm_source=twitter&amp;utm_medium=social&amp;utm_campaign=post-launch180322" TargetMode="External"/><Relationship Id="rId29" Type="http://schemas.openxmlformats.org/officeDocument/2006/relationships/hyperlink" Target="https://doi.org/10.3389/esss.2024.10119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Holliman@open.ac.uk" TargetMode="External"/><Relationship Id="rId24" Type="http://schemas.openxmlformats.org/officeDocument/2006/relationships/hyperlink" Target="https://www.ukri.org/publications/advancing-equity-diversity-and-inclusivity-in-the-environmental-sciences" TargetMode="External"/><Relationship Id="rId32" Type="http://schemas.openxmlformats.org/officeDocument/2006/relationships/hyperlink" Target="https://doi.org/10.18546/RFA.01.1.14" TargetMode="External"/><Relationship Id="rId37" Type="http://schemas.openxmlformats.org/officeDocument/2006/relationships/hyperlink" Target="https://doi.org/10.1007/s11625-024-01496-4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Yoseph.Araya@open.ac.uk" TargetMode="External"/><Relationship Id="rId23" Type="http://schemas.openxmlformats.org/officeDocument/2006/relationships/hyperlink" Target="https://doi.org/10.1016/j.pgeola.2018.10.003" TargetMode="External"/><Relationship Id="rId28" Type="http://schemas.openxmlformats.org/officeDocument/2006/relationships/hyperlink" Target="http://dx.doi.org/10.1038/s41561-021-00737-w" TargetMode="External"/><Relationship Id="rId36" Type="http://schemas.openxmlformats.org/officeDocument/2006/relationships/hyperlink" Target="https://doi.org/10.1080/11745398.2019.165545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pen.edu/openlearn/nature-environment/butterflies-tell-us-more-you-might-think-about-our-natural-world" TargetMode="External"/><Relationship Id="rId31" Type="http://schemas.openxmlformats.org/officeDocument/2006/relationships/hyperlink" Target="https://doi.org/10.14324/RFA.06.1.1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aciergirl@gmail.com" TargetMode="External"/><Relationship Id="rId22" Type="http://schemas.openxmlformats.org/officeDocument/2006/relationships/hyperlink" Target="https://doi.org/10.3389/esss.2024.10119" TargetMode="External"/><Relationship Id="rId27" Type="http://schemas.openxmlformats.org/officeDocument/2006/relationships/hyperlink" Target="https://oro.open.ac.uk/72494" TargetMode="External"/><Relationship Id="rId30" Type="http://schemas.openxmlformats.org/officeDocument/2006/relationships/hyperlink" Target="https://oro.open.ac.uk/92375" TargetMode="External"/><Relationship Id="rId35" Type="http://schemas.openxmlformats.org/officeDocument/2006/relationships/hyperlink" Target="https://www.ukri.org/publications/advancing-equity-diversity-and-inclusivity-in-the-environmental-sciences" TargetMode="External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Richard.Holliman@open.ac.uk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doi.org/10.1080/11745398.2019.1655459" TargetMode="External"/><Relationship Id="rId33" Type="http://schemas.openxmlformats.org/officeDocument/2006/relationships/hyperlink" Target="https://doi.org/10.1016/j.pgeola.2018.10.003" TargetMode="External"/><Relationship Id="rId38" Type="http://schemas.openxmlformats.org/officeDocument/2006/relationships/hyperlink" Target="https://www.forestresearch.gov.uk/publications/valuing-the-mental-health-benefits-of-woodlan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D635D066-9119-4B0B-A8DD-33E62755D38B}">
    <t:Anchor>
      <t:Comment id="2122628009"/>
    </t:Anchor>
    <t:History>
      <t:Event id="{E721C6F1-79CF-4135-8121-211EBBBFD64B}" time="2024-06-20T09:07:03.839Z">
        <t:Attribution userId="S::j.l.thomson@bham.ac.uk::99eb1234-6f9d-497a-99dc-a376d44a974e" userProvider="AD" userName="Jennifer Thomson (Life and Environmental Sciences)"/>
        <t:Anchor>
          <t:Comment id="2122628009"/>
        </t:Anchor>
        <t:Create/>
      </t:Event>
      <t:Event id="{F15A3D5E-9B1B-4FB9-AE56-349AC3408D46}" time="2024-06-20T09:07:03.839Z">
        <t:Attribution userId="S::j.l.thomson@bham.ac.uk::99eb1234-6f9d-497a-99dc-a376d44a974e" userProvider="AD" userName="Jennifer Thomson (Life and Environmental Sciences)"/>
        <t:Anchor>
          <t:Comment id="2122628009"/>
        </t:Anchor>
        <t:Assign userId="S::s.e.greene@bham.ac.uk::cf01c5ca-7564-47fb-b7a1-ac46872f4269" userProvider="AD" userName="Sarah Greene (Earth and Environmental Sciences)"/>
      </t:Event>
      <t:Event id="{E4895398-030D-4D8B-8973-3B19AA2AD25D}" time="2024-06-20T09:07:03.839Z">
        <t:Attribution userId="S::j.l.thomson@bham.ac.uk::99eb1234-6f9d-497a-99dc-a376d44a974e" userProvider="AD" userName="Jennifer Thomson (Life and Environmental Sciences)"/>
        <t:Anchor>
          <t:Comment id="2122628009"/>
        </t:Anchor>
        <t:SetTitle title="…ask supervisors to be trained though, and if so, what the supervisor training should include. This is not something I can decide alone, MB and @Sarah Greene (Earth and Environmental Sciences) need to decide what they think our supervisors need to know."/>
      </t:Event>
      <t:Event id="{8351F3A8-029C-40AE-B994-01EE45306546}" time="2024-07-08T09:52:11.768Z">
        <t:Attribution userId="S::j.l.thomson@bham.ac.uk::99eb1234-6f9d-497a-99dc-a376d44a974e" userProvider="AD" userName="Jennifer Thomson (Life and Environmental Sciences)"/>
        <t:Progress percentComplete="100"/>
      </t:Event>
    </t:History>
  </t:Task>
  <t:Task id="{3AE81630-94D0-4F2A-9942-E6807649A70D}">
    <t:Anchor>
      <t:Comment id="577278490"/>
    </t:Anchor>
    <t:History>
      <t:Event id="{CBE97015-BF00-4E20-B142-C3F5CF5E6DAD}" time="2024-06-20T09:08:16.304Z">
        <t:Attribution userId="S::j.l.thomson@bham.ac.uk::99eb1234-6f9d-497a-99dc-a376d44a974e" userProvider="AD" userName="Jennifer Thomson (Life and Environmental Sciences)"/>
        <t:Anchor>
          <t:Comment id="577278490"/>
        </t:Anchor>
        <t:Create/>
      </t:Event>
      <t:Event id="{03B86357-3F99-4709-977B-7E77B161CF62}" time="2024-06-20T09:08:16.304Z">
        <t:Attribution userId="S::j.l.thomson@bham.ac.uk::99eb1234-6f9d-497a-99dc-a376d44a974e" userProvider="AD" userName="Jennifer Thomson (Life and Environmental Sciences)"/>
        <t:Anchor>
          <t:Comment id="577278490"/>
        </t:Anchor>
        <t:Assign userId="S::s.e.greene@bham.ac.uk::cf01c5ca-7564-47fb-b7a1-ac46872f4269" userProvider="AD" userName="Sarah Greene (Earth and Environmental Sciences)"/>
      </t:Event>
      <t:Event id="{B791EFCD-9C26-4CAF-9B72-EEF5C70AB4CD}" time="2024-06-20T09:08:16.304Z">
        <t:Attribution userId="S::j.l.thomson@bham.ac.uk::99eb1234-6f9d-497a-99dc-a376d44a974e" userProvider="AD" userName="Jennifer Thomson (Life and Environmental Sciences)"/>
        <t:Anchor>
          <t:Comment id="577278490"/>
        </t:Anchor>
        <t:SetTitle title="…Sciences) I've added an extra sentence about reserving the right to exclude supervisors where these requirements are not met, as per Tom's suggestion, but I'd like a sense check on this please, @Sarah Greene (Earth and Environmental Sciences)"/>
      </t:Event>
      <t:Event id="{11C64347-9A7C-4A14-A341-BDE79C34CCB1}" time="2024-07-08T09:52:22.227Z">
        <t:Attribution userId="S::j.l.thomson@bham.ac.uk::99eb1234-6f9d-497a-99dc-a376d44a974e" userProvider="AD" userName="Jennifer Thomson (Life and Environmental Sciences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3776A658547CAA789A6F5B9F3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4EE0-C5EA-4ED2-88A7-D41E602768D0}"/>
      </w:docPartPr>
      <w:docPartBody>
        <w:p w:rsidR="00055E60" w:rsidRDefault="003B5231" w:rsidP="003B5231">
          <w:pPr>
            <w:pStyle w:val="2B93776A658547CAA789A6F5B9F3FF111"/>
          </w:pPr>
          <w:r w:rsidRPr="00A65634">
            <w:rPr>
              <w:rStyle w:val="PlaceholderText"/>
            </w:rPr>
            <w:t>Choose an item.</w:t>
          </w:r>
        </w:p>
      </w:docPartBody>
    </w:docPart>
    <w:docPart>
      <w:docPartPr>
        <w:name w:val="C2FAC592AEC145328233F7A07679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7D10-5C37-4471-B5F9-9CB22D890FF8}"/>
      </w:docPartPr>
      <w:docPartBody>
        <w:p w:rsidR="003B5231" w:rsidRDefault="00AD7F8A" w:rsidP="00AD7F8A">
          <w:pPr>
            <w:pStyle w:val="C2FAC592AEC145328233F7A076796E01"/>
          </w:pPr>
          <w:r w:rsidRPr="00A656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BC"/>
    <w:rsid w:val="0004058B"/>
    <w:rsid w:val="00055E60"/>
    <w:rsid w:val="00215498"/>
    <w:rsid w:val="003B5231"/>
    <w:rsid w:val="004940BC"/>
    <w:rsid w:val="00591960"/>
    <w:rsid w:val="005D7220"/>
    <w:rsid w:val="006404CC"/>
    <w:rsid w:val="00857959"/>
    <w:rsid w:val="0094743B"/>
    <w:rsid w:val="009A4C7D"/>
    <w:rsid w:val="00A21216"/>
    <w:rsid w:val="00AC7008"/>
    <w:rsid w:val="00AD7F8A"/>
    <w:rsid w:val="00C25EF3"/>
    <w:rsid w:val="00D2667A"/>
    <w:rsid w:val="00D26FE7"/>
    <w:rsid w:val="00D641F1"/>
    <w:rsid w:val="00E16357"/>
    <w:rsid w:val="00E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231"/>
    <w:rPr>
      <w:color w:val="808080"/>
    </w:rPr>
  </w:style>
  <w:style w:type="paragraph" w:customStyle="1" w:styleId="C2FAC592AEC145328233F7A076796E01">
    <w:name w:val="C2FAC592AEC145328233F7A076796E01"/>
    <w:rsid w:val="00AD7F8A"/>
  </w:style>
  <w:style w:type="paragraph" w:customStyle="1" w:styleId="2B93776A658547CAA789A6F5B9F3FF111">
    <w:name w:val="2B93776A658547CAA789A6F5B9F3FF111"/>
    <w:rsid w:val="003B52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74E14F813B41860E6D66CD6B57CE" ma:contentTypeVersion="19" ma:contentTypeDescription="Create a new document." ma:contentTypeScope="" ma:versionID="29c66be54282be972c807a0f025408ae">
  <xsd:schema xmlns:xsd="http://www.w3.org/2001/XMLSchema" xmlns:xs="http://www.w3.org/2001/XMLSchema" xmlns:p="http://schemas.microsoft.com/office/2006/metadata/properties" xmlns:ns2="8fbef3ba-beef-420d-a00e-a4c95214ca0a" xmlns:ns3="7556b30f-e6bb-4d95-a532-ecb4e4e20f60" targetNamespace="http://schemas.microsoft.com/office/2006/metadata/properties" ma:root="true" ma:fieldsID="af03bc019fabf38f59001da43f70ba15" ns2:_="" ns3:_="">
    <xsd:import namespace="8fbef3ba-beef-420d-a00e-a4c95214ca0a"/>
    <xsd:import namespace="7556b30f-e6bb-4d95-a532-ecb4e4e20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ef3ba-beef-420d-a00e-a4c95214c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6b30f-e6bb-4d95-a532-ecb4e4e20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05ba86-2efd-4db6-a40c-c9bb4d977148}" ma:internalName="TaxCatchAll" ma:showField="CatchAllData" ma:web="7556b30f-e6bb-4d95-a532-ecb4e4e20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ef3ba-beef-420d-a00e-a4c95214ca0a">
      <Terms xmlns="http://schemas.microsoft.com/office/infopath/2007/PartnerControls"/>
    </lcf76f155ced4ddcb4097134ff3c332f>
    <TaxCatchAll xmlns="7556b30f-e6bb-4d95-a532-ecb4e4e20f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51828-793A-47A6-A0C4-A2BDBB157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7577A-2E77-4345-A453-876DF6D6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ef3ba-beef-420d-a00e-a4c95214ca0a"/>
    <ds:schemaRef ds:uri="7556b30f-e6bb-4d95-a532-ecb4e4e20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A11F3-8AE4-4804-A8B5-EC299070897B}">
  <ds:schemaRefs>
    <ds:schemaRef ds:uri="http://schemas.microsoft.com/office/2006/metadata/properties"/>
    <ds:schemaRef ds:uri="http://schemas.microsoft.com/office/infopath/2007/PartnerControls"/>
    <ds:schemaRef ds:uri="8fbef3ba-beef-420d-a00e-a4c95214ca0a"/>
    <ds:schemaRef ds:uri="7556b30f-e6bb-4d95-a532-ecb4e4e20f60"/>
  </ds:schemaRefs>
</ds:datastoreItem>
</file>

<file path=customXml/itemProps4.xml><?xml version="1.0" encoding="utf-8"?>
<ds:datastoreItem xmlns:ds="http://schemas.openxmlformats.org/officeDocument/2006/customXml" ds:itemID="{3C934507-5F15-473B-A1F4-4533EEE5F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2214</Words>
  <Characters>12621</Characters>
  <Application>Microsoft Office Word</Application>
  <DocSecurity>0</DocSecurity>
  <Lines>105</Lines>
  <Paragraphs>29</Paragraphs>
  <ScaleCrop>false</ScaleCrop>
  <Company>UoB IT Services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Jones</dc:creator>
  <cp:keywords/>
  <dc:description/>
  <cp:lastModifiedBy>Phil Holden</cp:lastModifiedBy>
  <cp:revision>2</cp:revision>
  <dcterms:created xsi:type="dcterms:W3CDTF">2025-11-12T12:12:00Z</dcterms:created>
  <dcterms:modified xsi:type="dcterms:W3CDTF">2025-11-12T12:12:00Z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0x010100D69D74E14F813B41860E6D66CD6B57CE</vt:lpwstr>
  </property>
  <property fmtid="{D5CDD505-2E9C-101B-9397-08002B2CF9AE}" pid="3" name="MediaServiceImageTags">
    <vt:lpwstr/>
  </property>
</Properties>
</file>