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5A28" w14:textId="6D66F2A3" w:rsidR="00FA3ED3" w:rsidRDefault="00FA3ED3"/>
    <w:p w14:paraId="1CA69295" w14:textId="77777777" w:rsidR="002631C4" w:rsidRPr="00F348D4" w:rsidRDefault="00F84E29" w:rsidP="00BD3CA6">
      <w:pPr>
        <w:ind w:hanging="567"/>
        <w:rPr>
          <w:rFonts w:ascii="Poppins" w:hAnsi="Poppins" w:cs="Poppins"/>
          <w:b/>
          <w:sz w:val="28"/>
          <w:szCs w:val="28"/>
        </w:rPr>
      </w:pPr>
      <w:r w:rsidRPr="00F348D4">
        <w:rPr>
          <w:rFonts w:ascii="Poppins" w:hAnsi="Poppins" w:cs="Poppins"/>
          <w:b/>
          <w:sz w:val="28"/>
          <w:szCs w:val="28"/>
        </w:rPr>
        <w:t>B</w:t>
      </w:r>
      <w:r w:rsidR="00A30327" w:rsidRPr="00F348D4">
        <w:rPr>
          <w:rFonts w:ascii="Poppins" w:hAnsi="Poppins" w:cs="Poppins"/>
          <w:b/>
          <w:sz w:val="28"/>
          <w:szCs w:val="28"/>
        </w:rPr>
        <w:t xml:space="preserve">ackground </w:t>
      </w:r>
      <w:r w:rsidR="00C45834" w:rsidRPr="00F348D4">
        <w:rPr>
          <w:rFonts w:ascii="Poppins" w:hAnsi="Poppins" w:cs="Poppins"/>
          <w:b/>
          <w:sz w:val="28"/>
          <w:szCs w:val="28"/>
        </w:rPr>
        <w:t>d</w:t>
      </w:r>
      <w:r w:rsidR="005A18C2" w:rsidRPr="00F348D4">
        <w:rPr>
          <w:rFonts w:ascii="Poppins" w:hAnsi="Poppins" w:cs="Poppins"/>
          <w:b/>
          <w:sz w:val="28"/>
          <w:szCs w:val="28"/>
        </w:rPr>
        <w:t>ocument</w:t>
      </w:r>
      <w:r w:rsidR="00C45834" w:rsidRPr="00F348D4">
        <w:rPr>
          <w:rFonts w:ascii="Poppins" w:hAnsi="Poppins" w:cs="Poppins"/>
          <w:b/>
          <w:sz w:val="28"/>
          <w:szCs w:val="28"/>
        </w:rPr>
        <w:t xml:space="preserve"> for </w:t>
      </w:r>
      <w:r w:rsidR="00272F45" w:rsidRPr="00F348D4">
        <w:rPr>
          <w:rFonts w:ascii="Poppins" w:hAnsi="Poppins" w:cs="Poppins"/>
          <w:b/>
          <w:sz w:val="28"/>
          <w:szCs w:val="28"/>
        </w:rPr>
        <w:t xml:space="preserve">Institutional Approval of Single </w:t>
      </w:r>
    </w:p>
    <w:p w14:paraId="6C806D39" w14:textId="349A406E" w:rsidR="00FA3ED3" w:rsidRPr="00F348D4" w:rsidRDefault="00272F45" w:rsidP="00BD3CA6">
      <w:pPr>
        <w:ind w:hanging="567"/>
        <w:rPr>
          <w:rFonts w:ascii="Poppins" w:hAnsi="Poppins" w:cs="Poppins"/>
          <w:b/>
          <w:sz w:val="28"/>
          <w:szCs w:val="28"/>
        </w:rPr>
      </w:pPr>
      <w:r w:rsidRPr="00F348D4">
        <w:rPr>
          <w:rFonts w:ascii="Poppins" w:hAnsi="Poppins" w:cs="Poppins"/>
          <w:b/>
          <w:sz w:val="28"/>
          <w:szCs w:val="28"/>
        </w:rPr>
        <w:t>Registerable Modules (SRMs)</w:t>
      </w:r>
    </w:p>
    <w:p w14:paraId="15EB1813" w14:textId="77777777" w:rsidR="00162938" w:rsidRPr="00F348D4" w:rsidRDefault="00162938" w:rsidP="00BD3CA6">
      <w:pPr>
        <w:rPr>
          <w:rFonts w:ascii="Poppins" w:hAnsi="Poppins" w:cs="Poppins"/>
          <w:b/>
          <w:sz w:val="24"/>
          <w:szCs w:val="24"/>
        </w:rPr>
      </w:pPr>
    </w:p>
    <w:p w14:paraId="770747D2" w14:textId="6ED54205" w:rsidR="00162938" w:rsidRPr="00F348D4" w:rsidRDefault="00162938" w:rsidP="00BD3CA6">
      <w:pPr>
        <w:ind w:left="-567"/>
        <w:rPr>
          <w:rFonts w:ascii="Poppins" w:hAnsi="Poppins" w:cs="Poppins"/>
          <w:i/>
          <w:sz w:val="18"/>
          <w:szCs w:val="18"/>
        </w:rPr>
      </w:pPr>
      <w:r w:rsidRPr="00F348D4">
        <w:rPr>
          <w:rFonts w:ascii="Poppins" w:hAnsi="Poppins" w:cs="Poppins"/>
          <w:i/>
          <w:sz w:val="18"/>
          <w:szCs w:val="18"/>
        </w:rPr>
        <w:t>This template should be completed electronically; boxes will expand as you type</w:t>
      </w:r>
    </w:p>
    <w:p w14:paraId="090756CD" w14:textId="77777777" w:rsidR="00AA3E67" w:rsidRPr="00F348D4" w:rsidRDefault="00AA3E67" w:rsidP="00BD3CA6">
      <w:pPr>
        <w:ind w:left="-567"/>
        <w:rPr>
          <w:rFonts w:ascii="Poppins" w:hAnsi="Poppins" w:cs="Poppins"/>
          <w:i/>
          <w:sz w:val="18"/>
          <w:szCs w:val="18"/>
        </w:rPr>
      </w:pPr>
    </w:p>
    <w:p w14:paraId="3FC5D88E" w14:textId="0652ADF6" w:rsidR="0058329A" w:rsidRPr="00F348D4" w:rsidRDefault="00AA3E67" w:rsidP="00BD3CA6">
      <w:pPr>
        <w:ind w:left="-567"/>
        <w:rPr>
          <w:rFonts w:ascii="Poppins" w:hAnsi="Poppins" w:cs="Poppins"/>
          <w:i/>
          <w:sz w:val="18"/>
          <w:szCs w:val="18"/>
        </w:rPr>
      </w:pPr>
      <w:r w:rsidRPr="00F348D4">
        <w:rPr>
          <w:rFonts w:ascii="Poppins" w:hAnsi="Poppins" w:cs="Poppins"/>
          <w:i/>
          <w:sz w:val="18"/>
          <w:szCs w:val="18"/>
        </w:rPr>
        <w:t>This form should be used to provide details of the how your institution will support the delivery of SRMs.  This information will be considered as part of the approval process for an institution to offer this model of delivery, where this activity falls outside the standard institutional (re)approval process.</w:t>
      </w:r>
    </w:p>
    <w:p w14:paraId="6D5B48F5" w14:textId="77777777" w:rsidR="00FA3ED3" w:rsidRDefault="00FA3ED3" w:rsidP="00FA3ED3">
      <w:pPr>
        <w:jc w:val="center"/>
      </w:pPr>
    </w:p>
    <w:tbl>
      <w:tblPr>
        <w:tblStyle w:val="TableGrid"/>
        <w:tblW w:w="9499" w:type="dxa"/>
        <w:tblInd w:w="-432" w:type="dxa"/>
        <w:tblLayout w:type="fixed"/>
        <w:tblLook w:val="01E0" w:firstRow="1" w:lastRow="1" w:firstColumn="1" w:lastColumn="1" w:noHBand="0" w:noVBand="0"/>
      </w:tblPr>
      <w:tblGrid>
        <w:gridCol w:w="4113"/>
        <w:gridCol w:w="5386"/>
      </w:tblGrid>
      <w:tr w:rsidR="00385DEA" w:rsidRPr="007E7A65" w14:paraId="1894A233" w14:textId="3322BC6A" w:rsidTr="00F348D4">
        <w:tc>
          <w:tcPr>
            <w:tcW w:w="4113" w:type="dxa"/>
            <w:shd w:val="clear" w:color="auto" w:fill="E0E0E0"/>
          </w:tcPr>
          <w:p w14:paraId="70E1EE64" w14:textId="664341D1" w:rsidR="00385DEA" w:rsidRPr="00F348D4" w:rsidRDefault="00385DEA" w:rsidP="00FA3ED3">
            <w:pPr>
              <w:rPr>
                <w:rFonts w:ascii="Poppins" w:hAnsi="Poppins" w:cs="Poppins"/>
                <w:sz w:val="24"/>
                <w:szCs w:val="24"/>
              </w:rPr>
            </w:pPr>
            <w:r w:rsidRPr="00F348D4">
              <w:rPr>
                <w:rFonts w:ascii="Poppins" w:hAnsi="Poppins" w:cs="Poppins"/>
                <w:sz w:val="24"/>
                <w:szCs w:val="24"/>
              </w:rPr>
              <w:t>Institution:</w:t>
            </w:r>
          </w:p>
        </w:tc>
        <w:tc>
          <w:tcPr>
            <w:tcW w:w="5386" w:type="dxa"/>
            <w:shd w:val="clear" w:color="auto" w:fill="E0E0E0"/>
          </w:tcPr>
          <w:p w14:paraId="56A309EB" w14:textId="77777777" w:rsidR="00385DEA" w:rsidRPr="00F348D4" w:rsidRDefault="00385DEA" w:rsidP="00FA3ED3">
            <w:pPr>
              <w:rPr>
                <w:rFonts w:ascii="Poppins" w:hAnsi="Poppins" w:cs="Poppins"/>
                <w:sz w:val="24"/>
                <w:szCs w:val="24"/>
              </w:rPr>
            </w:pPr>
          </w:p>
        </w:tc>
      </w:tr>
      <w:tr w:rsidR="00385DEA" w:rsidRPr="007E7A65" w14:paraId="201C4B33" w14:textId="77777777" w:rsidTr="00F348D4">
        <w:tc>
          <w:tcPr>
            <w:tcW w:w="4113" w:type="dxa"/>
            <w:shd w:val="clear" w:color="auto" w:fill="E0E0E0"/>
          </w:tcPr>
          <w:p w14:paraId="191F2B0A" w14:textId="30E9A1E9" w:rsidR="00385DEA" w:rsidRPr="00F348D4" w:rsidRDefault="00385DEA" w:rsidP="00FA3ED3">
            <w:pPr>
              <w:rPr>
                <w:rFonts w:ascii="Poppins" w:hAnsi="Poppins" w:cs="Poppins"/>
                <w:sz w:val="24"/>
                <w:szCs w:val="24"/>
              </w:rPr>
            </w:pPr>
            <w:r w:rsidRPr="00F348D4">
              <w:rPr>
                <w:rFonts w:ascii="Poppins" w:hAnsi="Poppins" w:cs="Poppins"/>
                <w:sz w:val="24"/>
                <w:szCs w:val="24"/>
              </w:rPr>
              <w:t>Site(s) where the single registerable modules will be delivered</w:t>
            </w:r>
          </w:p>
        </w:tc>
        <w:tc>
          <w:tcPr>
            <w:tcW w:w="5386" w:type="dxa"/>
          </w:tcPr>
          <w:p w14:paraId="0E9B991C" w14:textId="77777777" w:rsidR="00385DEA" w:rsidRPr="00F348D4" w:rsidRDefault="00385DEA" w:rsidP="00FA3ED3">
            <w:pPr>
              <w:rPr>
                <w:rFonts w:ascii="Poppins" w:hAnsi="Poppins" w:cs="Poppins"/>
                <w:sz w:val="24"/>
                <w:szCs w:val="24"/>
              </w:rPr>
            </w:pPr>
          </w:p>
        </w:tc>
      </w:tr>
      <w:tr w:rsidR="00385DEA" w:rsidRPr="007E7A65" w14:paraId="32FE14B9" w14:textId="77777777" w:rsidTr="00F348D4">
        <w:tc>
          <w:tcPr>
            <w:tcW w:w="4113" w:type="dxa"/>
            <w:shd w:val="clear" w:color="auto" w:fill="E0E0E0"/>
          </w:tcPr>
          <w:p w14:paraId="06BDC9D4" w14:textId="57F81C54" w:rsidR="00385DEA" w:rsidRPr="00F348D4" w:rsidRDefault="00385DEA" w:rsidP="00FA3ED3">
            <w:pPr>
              <w:rPr>
                <w:rFonts w:ascii="Poppins" w:hAnsi="Poppins" w:cs="Poppins"/>
                <w:sz w:val="24"/>
                <w:szCs w:val="24"/>
              </w:rPr>
            </w:pPr>
            <w:r w:rsidRPr="00F348D4">
              <w:rPr>
                <w:rFonts w:ascii="Poppins" w:hAnsi="Poppins" w:cs="Poppins"/>
                <w:sz w:val="24"/>
                <w:szCs w:val="24"/>
              </w:rPr>
              <w:t>Proposed date of first delivery date</w:t>
            </w:r>
          </w:p>
        </w:tc>
        <w:tc>
          <w:tcPr>
            <w:tcW w:w="5386" w:type="dxa"/>
          </w:tcPr>
          <w:p w14:paraId="272E0D28" w14:textId="77777777" w:rsidR="00385DEA" w:rsidRPr="00F348D4" w:rsidRDefault="00385DEA" w:rsidP="00FA3ED3">
            <w:pPr>
              <w:rPr>
                <w:rFonts w:ascii="Poppins" w:hAnsi="Poppins" w:cs="Poppins"/>
                <w:sz w:val="24"/>
                <w:szCs w:val="24"/>
              </w:rPr>
            </w:pPr>
          </w:p>
        </w:tc>
      </w:tr>
    </w:tbl>
    <w:p w14:paraId="787DADA1" w14:textId="77777777" w:rsidR="00FA3ED3" w:rsidRPr="00F348D4" w:rsidRDefault="00FA3ED3">
      <w:pPr>
        <w:rPr>
          <w:rFonts w:ascii="Poppins" w:hAnsi="Poppins" w:cs="Poppins"/>
          <w:sz w:val="24"/>
          <w:szCs w:val="24"/>
        </w:rPr>
      </w:pPr>
    </w:p>
    <w:tbl>
      <w:tblPr>
        <w:tblStyle w:val="TableGrid"/>
        <w:tblW w:w="9540" w:type="dxa"/>
        <w:tblInd w:w="-432" w:type="dxa"/>
        <w:tblLook w:val="01E0" w:firstRow="1" w:lastRow="1" w:firstColumn="1" w:lastColumn="1" w:noHBand="0" w:noVBand="0"/>
      </w:tblPr>
      <w:tblGrid>
        <w:gridCol w:w="9540"/>
      </w:tblGrid>
      <w:tr w:rsidR="00FA3ED3" w:rsidRPr="007E7A65" w14:paraId="6EBBC4A3" w14:textId="77777777" w:rsidTr="002D5961">
        <w:tc>
          <w:tcPr>
            <w:tcW w:w="9540" w:type="dxa"/>
            <w:shd w:val="clear" w:color="auto" w:fill="E6E6E6"/>
          </w:tcPr>
          <w:p w14:paraId="087AEBFC" w14:textId="493810B3" w:rsidR="00FA3ED3" w:rsidRPr="00F348D4" w:rsidRDefault="00FA3ED3" w:rsidP="00E81844">
            <w:pPr>
              <w:rPr>
                <w:rFonts w:ascii="Poppins" w:hAnsi="Poppins" w:cs="Poppins"/>
                <w:sz w:val="24"/>
                <w:szCs w:val="24"/>
              </w:rPr>
            </w:pPr>
            <w:r w:rsidRPr="00F348D4">
              <w:rPr>
                <w:rFonts w:ascii="Poppins" w:hAnsi="Poppins" w:cs="Poppins"/>
                <w:sz w:val="24"/>
                <w:szCs w:val="24"/>
              </w:rPr>
              <w:t xml:space="preserve">1. </w:t>
            </w:r>
            <w:r w:rsidR="00272F45" w:rsidRPr="00F348D4">
              <w:rPr>
                <w:rFonts w:ascii="Poppins" w:hAnsi="Poppins" w:cs="Poppins"/>
                <w:sz w:val="24"/>
                <w:szCs w:val="24"/>
              </w:rPr>
              <w:t>R</w:t>
            </w:r>
            <w:r w:rsidR="00FA1CDA" w:rsidRPr="00F348D4">
              <w:rPr>
                <w:rFonts w:ascii="Poppins" w:hAnsi="Poppins" w:cs="Poppins"/>
                <w:sz w:val="24"/>
                <w:szCs w:val="24"/>
              </w:rPr>
              <w:t xml:space="preserve">ationale </w:t>
            </w:r>
            <w:r w:rsidR="00272F45" w:rsidRPr="00F348D4">
              <w:rPr>
                <w:rFonts w:ascii="Poppins" w:hAnsi="Poppins" w:cs="Poppins"/>
                <w:sz w:val="24"/>
                <w:szCs w:val="24"/>
              </w:rPr>
              <w:t xml:space="preserve">and strategy for the delivery of single </w:t>
            </w:r>
            <w:r w:rsidR="00201C30" w:rsidRPr="00F348D4">
              <w:rPr>
                <w:rFonts w:ascii="Poppins" w:hAnsi="Poppins" w:cs="Poppins"/>
                <w:sz w:val="24"/>
                <w:szCs w:val="24"/>
              </w:rPr>
              <w:t>registerable modules</w:t>
            </w:r>
          </w:p>
        </w:tc>
      </w:tr>
      <w:tr w:rsidR="00FA3ED3" w:rsidRPr="007E7A65" w14:paraId="50FC0F1A" w14:textId="77777777" w:rsidTr="002D5961">
        <w:trPr>
          <w:trHeight w:val="605"/>
        </w:trPr>
        <w:tc>
          <w:tcPr>
            <w:tcW w:w="9540" w:type="dxa"/>
          </w:tcPr>
          <w:p w14:paraId="7133A76C" w14:textId="77777777" w:rsidR="00FA3ED3" w:rsidRPr="00F348D4" w:rsidRDefault="00FA3ED3" w:rsidP="00E81844">
            <w:pPr>
              <w:rPr>
                <w:rFonts w:ascii="Poppins" w:hAnsi="Poppins" w:cs="Poppins"/>
                <w:sz w:val="24"/>
                <w:szCs w:val="24"/>
              </w:rPr>
            </w:pPr>
          </w:p>
          <w:p w14:paraId="347393DB" w14:textId="19E13ED1" w:rsidR="00201C30" w:rsidRPr="00F348D4" w:rsidRDefault="00201C30" w:rsidP="00E81844">
            <w:pPr>
              <w:rPr>
                <w:rFonts w:ascii="Poppins" w:hAnsi="Poppins" w:cs="Poppins"/>
                <w:sz w:val="24"/>
                <w:szCs w:val="24"/>
              </w:rPr>
            </w:pPr>
          </w:p>
        </w:tc>
      </w:tr>
    </w:tbl>
    <w:p w14:paraId="70DC2A6A" w14:textId="77777777" w:rsidR="00E009CA" w:rsidRPr="00F348D4" w:rsidRDefault="00E009CA" w:rsidP="00E81844">
      <w:pPr>
        <w:rPr>
          <w:rFonts w:ascii="Poppins" w:hAnsi="Poppins" w:cs="Poppins"/>
          <w:sz w:val="24"/>
          <w:szCs w:val="24"/>
        </w:rPr>
      </w:pPr>
    </w:p>
    <w:tbl>
      <w:tblPr>
        <w:tblStyle w:val="TableGrid"/>
        <w:tblW w:w="9540" w:type="dxa"/>
        <w:tblInd w:w="-432" w:type="dxa"/>
        <w:tblLayout w:type="fixed"/>
        <w:tblLook w:val="01E0" w:firstRow="1" w:lastRow="1" w:firstColumn="1" w:lastColumn="1" w:noHBand="0" w:noVBand="0"/>
      </w:tblPr>
      <w:tblGrid>
        <w:gridCol w:w="9540"/>
      </w:tblGrid>
      <w:tr w:rsidR="00FA3ED3" w:rsidRPr="007E7A65" w14:paraId="3A6D7EBF" w14:textId="77777777" w:rsidTr="00BD3CA6">
        <w:tc>
          <w:tcPr>
            <w:tcW w:w="9540" w:type="dxa"/>
            <w:shd w:val="clear" w:color="auto" w:fill="E6E6E6"/>
          </w:tcPr>
          <w:p w14:paraId="495419C5" w14:textId="4674E5E7" w:rsidR="00FA3ED3" w:rsidRPr="00F348D4" w:rsidRDefault="005E4698" w:rsidP="00E81844">
            <w:pPr>
              <w:rPr>
                <w:rFonts w:ascii="Poppins" w:hAnsi="Poppins" w:cs="Poppins"/>
                <w:sz w:val="24"/>
                <w:szCs w:val="24"/>
              </w:rPr>
            </w:pPr>
            <w:r w:rsidRPr="00F348D4">
              <w:rPr>
                <w:rFonts w:ascii="Poppins" w:hAnsi="Poppins" w:cs="Poppins"/>
                <w:sz w:val="24"/>
                <w:szCs w:val="24"/>
              </w:rPr>
              <w:t>2</w:t>
            </w:r>
            <w:r w:rsidR="00FA3ED3" w:rsidRPr="00F348D4">
              <w:rPr>
                <w:rFonts w:ascii="Poppins" w:hAnsi="Poppins" w:cs="Poppins"/>
                <w:sz w:val="24"/>
                <w:szCs w:val="24"/>
              </w:rPr>
              <w:t xml:space="preserve">. Details of </w:t>
            </w:r>
            <w:r w:rsidR="00272F45" w:rsidRPr="00F348D4">
              <w:rPr>
                <w:rFonts w:ascii="Poppins" w:hAnsi="Poppins" w:cs="Poppins"/>
                <w:sz w:val="24"/>
                <w:szCs w:val="24"/>
              </w:rPr>
              <w:t>governance oversight of SRMs, including an outline of any changes made to terms of reference</w:t>
            </w:r>
          </w:p>
        </w:tc>
      </w:tr>
      <w:tr w:rsidR="00FA3ED3" w:rsidRPr="007E7A65" w14:paraId="161CFD9E" w14:textId="77777777" w:rsidTr="00BD3CA6">
        <w:trPr>
          <w:trHeight w:val="614"/>
        </w:trPr>
        <w:tc>
          <w:tcPr>
            <w:tcW w:w="9540" w:type="dxa"/>
          </w:tcPr>
          <w:p w14:paraId="15A4399C" w14:textId="77777777" w:rsidR="00FA3ED3" w:rsidRPr="00F348D4" w:rsidRDefault="00FA3ED3" w:rsidP="00E81844">
            <w:pPr>
              <w:rPr>
                <w:rFonts w:ascii="Poppins" w:hAnsi="Poppins" w:cs="Poppins"/>
                <w:sz w:val="24"/>
                <w:szCs w:val="24"/>
              </w:rPr>
            </w:pPr>
          </w:p>
          <w:p w14:paraId="5842CF71" w14:textId="77777777" w:rsidR="008530FA" w:rsidRPr="00F348D4" w:rsidRDefault="008530FA" w:rsidP="00E81844">
            <w:pPr>
              <w:rPr>
                <w:rFonts w:ascii="Poppins" w:hAnsi="Poppins" w:cs="Poppins"/>
                <w:sz w:val="24"/>
                <w:szCs w:val="24"/>
              </w:rPr>
            </w:pPr>
          </w:p>
        </w:tc>
      </w:tr>
    </w:tbl>
    <w:p w14:paraId="713A4886" w14:textId="77777777" w:rsidR="00162938" w:rsidRPr="00F348D4" w:rsidRDefault="00162938" w:rsidP="00E81844">
      <w:pPr>
        <w:rPr>
          <w:rFonts w:ascii="Poppins" w:hAnsi="Poppins" w:cs="Poppins"/>
          <w:sz w:val="24"/>
          <w:szCs w:val="24"/>
        </w:rPr>
      </w:pPr>
    </w:p>
    <w:tbl>
      <w:tblPr>
        <w:tblStyle w:val="TableGrid"/>
        <w:tblW w:w="9540" w:type="dxa"/>
        <w:tblInd w:w="-432" w:type="dxa"/>
        <w:tblLayout w:type="fixed"/>
        <w:tblLook w:val="01E0" w:firstRow="1" w:lastRow="1" w:firstColumn="1" w:lastColumn="1" w:noHBand="0" w:noVBand="0"/>
      </w:tblPr>
      <w:tblGrid>
        <w:gridCol w:w="9540"/>
      </w:tblGrid>
      <w:tr w:rsidR="00162938" w:rsidRPr="007E7A65" w14:paraId="024F7BB9" w14:textId="77777777" w:rsidTr="00272F45">
        <w:trPr>
          <w:trHeight w:val="201"/>
        </w:trPr>
        <w:tc>
          <w:tcPr>
            <w:tcW w:w="9540" w:type="dxa"/>
            <w:shd w:val="clear" w:color="auto" w:fill="E0E0E0"/>
          </w:tcPr>
          <w:p w14:paraId="63FD2A5F" w14:textId="306F1A53" w:rsidR="00162938" w:rsidRPr="00F348D4" w:rsidRDefault="00162938" w:rsidP="00E81844">
            <w:pPr>
              <w:rPr>
                <w:rFonts w:ascii="Poppins" w:hAnsi="Poppins" w:cs="Poppins"/>
                <w:sz w:val="24"/>
                <w:szCs w:val="24"/>
              </w:rPr>
            </w:pPr>
            <w:r w:rsidRPr="00F348D4">
              <w:rPr>
                <w:rFonts w:ascii="Poppins" w:hAnsi="Poppins" w:cs="Poppins"/>
                <w:sz w:val="24"/>
                <w:szCs w:val="24"/>
              </w:rPr>
              <w:t xml:space="preserve">3. </w:t>
            </w:r>
            <w:r w:rsidR="00272F45" w:rsidRPr="00F348D4">
              <w:rPr>
                <w:rFonts w:ascii="Poppins" w:hAnsi="Poppins" w:cs="Poppins"/>
                <w:sz w:val="24"/>
                <w:szCs w:val="24"/>
              </w:rPr>
              <w:t>Quality assurance and evaluation mechanisms for SRMs</w:t>
            </w:r>
          </w:p>
        </w:tc>
      </w:tr>
      <w:tr w:rsidR="00162938" w:rsidRPr="007E7A65" w14:paraId="395499EF" w14:textId="77777777" w:rsidTr="00BD3CA6">
        <w:trPr>
          <w:trHeight w:val="520"/>
        </w:trPr>
        <w:tc>
          <w:tcPr>
            <w:tcW w:w="9540" w:type="dxa"/>
          </w:tcPr>
          <w:p w14:paraId="6B403940" w14:textId="77777777" w:rsidR="00162938" w:rsidRPr="00F348D4" w:rsidRDefault="00162938" w:rsidP="00E81844">
            <w:pPr>
              <w:rPr>
                <w:rFonts w:ascii="Poppins" w:hAnsi="Poppins" w:cs="Poppins"/>
                <w:sz w:val="24"/>
                <w:szCs w:val="24"/>
              </w:rPr>
            </w:pPr>
          </w:p>
          <w:p w14:paraId="3E4A0953" w14:textId="4DBD1E4C" w:rsidR="00201C30" w:rsidRPr="00F348D4" w:rsidRDefault="00201C30" w:rsidP="00E81844">
            <w:pPr>
              <w:rPr>
                <w:rFonts w:ascii="Poppins" w:hAnsi="Poppins" w:cs="Poppins"/>
                <w:sz w:val="24"/>
                <w:szCs w:val="24"/>
              </w:rPr>
            </w:pPr>
          </w:p>
        </w:tc>
      </w:tr>
    </w:tbl>
    <w:p w14:paraId="5E03EAFE" w14:textId="77777777" w:rsidR="00BD3CA6" w:rsidRPr="00F348D4" w:rsidRDefault="00BD3CA6" w:rsidP="00E81844">
      <w:pPr>
        <w:rPr>
          <w:rFonts w:ascii="Poppins" w:hAnsi="Poppins" w:cs="Poppins"/>
          <w:sz w:val="24"/>
          <w:szCs w:val="24"/>
        </w:rPr>
      </w:pPr>
    </w:p>
    <w:tbl>
      <w:tblPr>
        <w:tblStyle w:val="TableGrid"/>
        <w:tblW w:w="9540" w:type="dxa"/>
        <w:tblInd w:w="-432" w:type="dxa"/>
        <w:tblLayout w:type="fixed"/>
        <w:tblLook w:val="01E0" w:firstRow="1" w:lastRow="1" w:firstColumn="1" w:lastColumn="1" w:noHBand="0" w:noVBand="0"/>
      </w:tblPr>
      <w:tblGrid>
        <w:gridCol w:w="9540"/>
      </w:tblGrid>
      <w:tr w:rsidR="00E81844" w:rsidRPr="007E7A65" w14:paraId="5ED14BD6" w14:textId="77777777" w:rsidTr="006C3E1F">
        <w:tc>
          <w:tcPr>
            <w:tcW w:w="9540" w:type="dxa"/>
            <w:shd w:val="clear" w:color="auto" w:fill="E0E0E0"/>
          </w:tcPr>
          <w:p w14:paraId="6C8C5622" w14:textId="7BA0061B" w:rsidR="00E81844" w:rsidRPr="00F348D4" w:rsidRDefault="00E81844" w:rsidP="00E81844">
            <w:pPr>
              <w:rPr>
                <w:rFonts w:ascii="Poppins" w:hAnsi="Poppins" w:cs="Poppins"/>
                <w:sz w:val="24"/>
                <w:szCs w:val="24"/>
              </w:rPr>
            </w:pPr>
            <w:r w:rsidRPr="00F348D4">
              <w:rPr>
                <w:rFonts w:ascii="Poppins" w:hAnsi="Poppins" w:cs="Poppins"/>
                <w:sz w:val="24"/>
                <w:szCs w:val="24"/>
              </w:rPr>
              <w:t xml:space="preserve">4. SRM student engagement and representation arrangements </w:t>
            </w:r>
          </w:p>
        </w:tc>
      </w:tr>
      <w:tr w:rsidR="00E81844" w:rsidRPr="007E7A65" w14:paraId="634C0F60" w14:textId="77777777" w:rsidTr="006C3E1F">
        <w:tc>
          <w:tcPr>
            <w:tcW w:w="9540" w:type="dxa"/>
            <w:tcBorders>
              <w:bottom w:val="single" w:sz="4" w:space="0" w:color="auto"/>
            </w:tcBorders>
            <w:shd w:val="clear" w:color="auto" w:fill="auto"/>
          </w:tcPr>
          <w:p w14:paraId="1E5749C1" w14:textId="77777777" w:rsidR="00E81844" w:rsidRPr="00F348D4" w:rsidRDefault="00E81844" w:rsidP="00E81844">
            <w:pPr>
              <w:rPr>
                <w:rFonts w:ascii="Poppins" w:hAnsi="Poppins" w:cs="Poppins"/>
                <w:sz w:val="24"/>
                <w:szCs w:val="24"/>
              </w:rPr>
            </w:pPr>
          </w:p>
          <w:p w14:paraId="15B53201" w14:textId="77777777" w:rsidR="00E81844" w:rsidRPr="00F348D4" w:rsidRDefault="00E81844" w:rsidP="00E81844">
            <w:pPr>
              <w:rPr>
                <w:rFonts w:ascii="Poppins" w:hAnsi="Poppins" w:cs="Poppins"/>
                <w:sz w:val="24"/>
                <w:szCs w:val="24"/>
              </w:rPr>
            </w:pPr>
          </w:p>
        </w:tc>
      </w:tr>
    </w:tbl>
    <w:p w14:paraId="561DEB81" w14:textId="77777777" w:rsidR="00E81844" w:rsidRPr="00F348D4" w:rsidRDefault="00E81844" w:rsidP="00E81844">
      <w:pPr>
        <w:rPr>
          <w:rFonts w:ascii="Poppins" w:hAnsi="Poppins" w:cs="Poppins"/>
          <w:sz w:val="24"/>
          <w:szCs w:val="24"/>
        </w:rPr>
      </w:pPr>
    </w:p>
    <w:tbl>
      <w:tblPr>
        <w:tblStyle w:val="TableGrid"/>
        <w:tblW w:w="9540" w:type="dxa"/>
        <w:tblInd w:w="-432" w:type="dxa"/>
        <w:tblLayout w:type="fixed"/>
        <w:tblLook w:val="01E0" w:firstRow="1" w:lastRow="1" w:firstColumn="1" w:lastColumn="1" w:noHBand="0" w:noVBand="0"/>
      </w:tblPr>
      <w:tblGrid>
        <w:gridCol w:w="9540"/>
      </w:tblGrid>
      <w:tr w:rsidR="00162938" w:rsidRPr="007E7A65" w14:paraId="52B4CE22" w14:textId="77777777" w:rsidTr="00272F45">
        <w:trPr>
          <w:trHeight w:val="117"/>
        </w:trPr>
        <w:tc>
          <w:tcPr>
            <w:tcW w:w="9540" w:type="dxa"/>
            <w:shd w:val="clear" w:color="auto" w:fill="E6E6E6"/>
          </w:tcPr>
          <w:p w14:paraId="57D2F2AD" w14:textId="3F591251" w:rsidR="00162938" w:rsidRPr="00F348D4" w:rsidRDefault="00E81844" w:rsidP="00E81844">
            <w:pPr>
              <w:ind w:left="252" w:hanging="252"/>
              <w:rPr>
                <w:rFonts w:ascii="Poppins" w:hAnsi="Poppins" w:cs="Poppins"/>
                <w:sz w:val="24"/>
                <w:szCs w:val="24"/>
              </w:rPr>
            </w:pPr>
            <w:r w:rsidRPr="00F348D4">
              <w:rPr>
                <w:rFonts w:ascii="Poppins" w:hAnsi="Poppins" w:cs="Poppins"/>
                <w:sz w:val="24"/>
                <w:szCs w:val="24"/>
              </w:rPr>
              <w:t>5</w:t>
            </w:r>
            <w:r w:rsidR="00272F45" w:rsidRPr="00F348D4">
              <w:rPr>
                <w:rFonts w:ascii="Poppins" w:hAnsi="Poppins" w:cs="Poppins"/>
                <w:sz w:val="24"/>
                <w:szCs w:val="24"/>
              </w:rPr>
              <w:t xml:space="preserve">. Arrangements for </w:t>
            </w:r>
            <w:r w:rsidRPr="00F348D4">
              <w:rPr>
                <w:rFonts w:ascii="Poppins" w:hAnsi="Poppins" w:cs="Poppins"/>
                <w:sz w:val="24"/>
                <w:szCs w:val="24"/>
              </w:rPr>
              <w:t xml:space="preserve">SRM </w:t>
            </w:r>
            <w:r w:rsidR="00272F45" w:rsidRPr="00F348D4">
              <w:rPr>
                <w:rFonts w:ascii="Poppins" w:hAnsi="Poppins" w:cs="Poppins"/>
                <w:sz w:val="24"/>
                <w:szCs w:val="24"/>
              </w:rPr>
              <w:t>student guidance, support and advice systems</w:t>
            </w:r>
            <w:r w:rsidRPr="00F348D4">
              <w:rPr>
                <w:rFonts w:ascii="Poppins" w:hAnsi="Poppins" w:cs="Poppins"/>
                <w:sz w:val="24"/>
                <w:szCs w:val="24"/>
              </w:rPr>
              <w:t>, including induction and access to facilities</w:t>
            </w:r>
          </w:p>
        </w:tc>
      </w:tr>
      <w:tr w:rsidR="00162938" w:rsidRPr="007E7A65" w14:paraId="73DFBE24" w14:textId="77777777" w:rsidTr="00BD3CA6">
        <w:trPr>
          <w:trHeight w:val="520"/>
        </w:trPr>
        <w:tc>
          <w:tcPr>
            <w:tcW w:w="9540" w:type="dxa"/>
          </w:tcPr>
          <w:p w14:paraId="7D54CEC8" w14:textId="77777777" w:rsidR="00162938" w:rsidRPr="00F348D4" w:rsidRDefault="00162938" w:rsidP="00E81844">
            <w:pPr>
              <w:rPr>
                <w:rFonts w:ascii="Poppins" w:hAnsi="Poppins" w:cs="Poppins"/>
                <w:sz w:val="24"/>
                <w:szCs w:val="24"/>
              </w:rPr>
            </w:pPr>
          </w:p>
          <w:p w14:paraId="0EF54EE1" w14:textId="77777777" w:rsidR="00162938" w:rsidRPr="00F348D4" w:rsidRDefault="00162938" w:rsidP="00E81844">
            <w:pPr>
              <w:rPr>
                <w:rFonts w:ascii="Poppins" w:hAnsi="Poppins" w:cs="Poppins"/>
                <w:sz w:val="24"/>
                <w:szCs w:val="24"/>
              </w:rPr>
            </w:pPr>
          </w:p>
        </w:tc>
      </w:tr>
    </w:tbl>
    <w:p w14:paraId="698E51F4" w14:textId="77777777" w:rsidR="00162938" w:rsidRPr="00F348D4" w:rsidRDefault="00162938" w:rsidP="00E81844">
      <w:pPr>
        <w:rPr>
          <w:rFonts w:ascii="Poppins" w:hAnsi="Poppins" w:cs="Poppins"/>
          <w:sz w:val="24"/>
          <w:szCs w:val="24"/>
        </w:rPr>
      </w:pPr>
    </w:p>
    <w:tbl>
      <w:tblPr>
        <w:tblStyle w:val="TableGrid"/>
        <w:tblW w:w="9540" w:type="dxa"/>
        <w:tblInd w:w="-432" w:type="dxa"/>
        <w:tblLayout w:type="fixed"/>
        <w:tblLook w:val="01E0" w:firstRow="1" w:lastRow="1" w:firstColumn="1" w:lastColumn="1" w:noHBand="0" w:noVBand="0"/>
      </w:tblPr>
      <w:tblGrid>
        <w:gridCol w:w="9540"/>
      </w:tblGrid>
      <w:tr w:rsidR="00A002C3" w:rsidRPr="007E7A65" w14:paraId="359E013C" w14:textId="77777777" w:rsidTr="00BD3CA6">
        <w:tc>
          <w:tcPr>
            <w:tcW w:w="9540" w:type="dxa"/>
            <w:shd w:val="clear" w:color="auto" w:fill="E0E0E0"/>
          </w:tcPr>
          <w:p w14:paraId="13EAE69E" w14:textId="701E02D9" w:rsidR="00A002C3" w:rsidRPr="00F348D4" w:rsidRDefault="00E81844" w:rsidP="00E81844">
            <w:pPr>
              <w:rPr>
                <w:rFonts w:ascii="Poppins" w:hAnsi="Poppins" w:cs="Poppins"/>
                <w:sz w:val="24"/>
                <w:szCs w:val="24"/>
              </w:rPr>
            </w:pPr>
            <w:r w:rsidRPr="00F348D4">
              <w:rPr>
                <w:rFonts w:ascii="Poppins" w:hAnsi="Poppins" w:cs="Poppins"/>
                <w:sz w:val="24"/>
                <w:szCs w:val="24"/>
              </w:rPr>
              <w:t>6</w:t>
            </w:r>
            <w:r w:rsidR="00272F45" w:rsidRPr="00F348D4">
              <w:rPr>
                <w:rFonts w:ascii="Poppins" w:hAnsi="Poppins" w:cs="Poppins"/>
                <w:sz w:val="24"/>
                <w:szCs w:val="24"/>
              </w:rPr>
              <w:t xml:space="preserve">. Student </w:t>
            </w:r>
            <w:r w:rsidRPr="00F348D4">
              <w:rPr>
                <w:rFonts w:ascii="Poppins" w:hAnsi="Poppins" w:cs="Poppins"/>
                <w:sz w:val="24"/>
                <w:szCs w:val="24"/>
              </w:rPr>
              <w:t xml:space="preserve">record system </w:t>
            </w:r>
            <w:r w:rsidR="00272F45" w:rsidRPr="00F348D4">
              <w:rPr>
                <w:rFonts w:ascii="Poppins" w:hAnsi="Poppins" w:cs="Poppins"/>
                <w:sz w:val="24"/>
                <w:szCs w:val="24"/>
              </w:rPr>
              <w:t xml:space="preserve">arrangements, including </w:t>
            </w:r>
            <w:r w:rsidRPr="00F348D4">
              <w:rPr>
                <w:rFonts w:ascii="Poppins" w:hAnsi="Poppins" w:cs="Poppins"/>
                <w:sz w:val="24"/>
                <w:szCs w:val="24"/>
              </w:rPr>
              <w:t xml:space="preserve">data for annual monitoring, </w:t>
            </w:r>
            <w:r w:rsidR="00272F45" w:rsidRPr="00F348D4">
              <w:rPr>
                <w:rFonts w:ascii="Poppins" w:hAnsi="Poppins" w:cs="Poppins"/>
                <w:sz w:val="24"/>
                <w:szCs w:val="24"/>
              </w:rPr>
              <w:t>examination board</w:t>
            </w:r>
            <w:r w:rsidRPr="00F348D4">
              <w:rPr>
                <w:rFonts w:ascii="Poppins" w:hAnsi="Poppins" w:cs="Poppins"/>
                <w:sz w:val="24"/>
                <w:szCs w:val="24"/>
              </w:rPr>
              <w:t xml:space="preserve">s </w:t>
            </w:r>
            <w:r w:rsidR="00272F45" w:rsidRPr="00F348D4">
              <w:rPr>
                <w:rFonts w:ascii="Poppins" w:hAnsi="Poppins" w:cs="Poppins"/>
                <w:sz w:val="24"/>
                <w:szCs w:val="24"/>
              </w:rPr>
              <w:t xml:space="preserve">and generation of transcripts </w:t>
            </w:r>
          </w:p>
        </w:tc>
      </w:tr>
      <w:tr w:rsidR="00A002C3" w:rsidRPr="007E7A65" w14:paraId="4F8AA7A7" w14:textId="77777777" w:rsidTr="00BD3CA6">
        <w:tc>
          <w:tcPr>
            <w:tcW w:w="9540" w:type="dxa"/>
            <w:tcBorders>
              <w:bottom w:val="single" w:sz="4" w:space="0" w:color="auto"/>
            </w:tcBorders>
            <w:shd w:val="clear" w:color="auto" w:fill="auto"/>
          </w:tcPr>
          <w:p w14:paraId="09A2195E" w14:textId="77777777" w:rsidR="00A002C3" w:rsidRPr="00F348D4" w:rsidRDefault="00A002C3" w:rsidP="00E81844">
            <w:pPr>
              <w:rPr>
                <w:rFonts w:ascii="Poppins" w:hAnsi="Poppins" w:cs="Poppins"/>
                <w:sz w:val="24"/>
                <w:szCs w:val="24"/>
              </w:rPr>
            </w:pPr>
          </w:p>
          <w:p w14:paraId="2AB3D1F7" w14:textId="77777777" w:rsidR="00E009CA" w:rsidRPr="00F348D4" w:rsidRDefault="00E009CA" w:rsidP="00E81844">
            <w:pPr>
              <w:rPr>
                <w:rFonts w:ascii="Poppins" w:hAnsi="Poppins" w:cs="Poppins"/>
                <w:sz w:val="24"/>
                <w:szCs w:val="24"/>
              </w:rPr>
            </w:pPr>
          </w:p>
        </w:tc>
      </w:tr>
    </w:tbl>
    <w:p w14:paraId="021CA276" w14:textId="77777777" w:rsidR="00BD3CA6" w:rsidRPr="00F348D4" w:rsidRDefault="00BD3CA6">
      <w:pPr>
        <w:rPr>
          <w:rFonts w:ascii="Poppins" w:hAnsi="Poppins" w:cs="Poppins"/>
          <w:sz w:val="24"/>
          <w:szCs w:val="24"/>
        </w:rPr>
      </w:pPr>
    </w:p>
    <w:tbl>
      <w:tblPr>
        <w:tblStyle w:val="TableGrid"/>
        <w:tblW w:w="9540" w:type="dxa"/>
        <w:tblInd w:w="-432" w:type="dxa"/>
        <w:tblLayout w:type="fixed"/>
        <w:tblLook w:val="01E0" w:firstRow="1" w:lastRow="1" w:firstColumn="1" w:lastColumn="1" w:noHBand="0" w:noVBand="0"/>
      </w:tblPr>
      <w:tblGrid>
        <w:gridCol w:w="9540"/>
      </w:tblGrid>
      <w:tr w:rsidR="00E52F23" w:rsidRPr="007E7A65" w14:paraId="02560A91" w14:textId="77777777" w:rsidTr="006C3E1F">
        <w:tc>
          <w:tcPr>
            <w:tcW w:w="9540" w:type="dxa"/>
            <w:shd w:val="clear" w:color="auto" w:fill="E0E0E0"/>
          </w:tcPr>
          <w:p w14:paraId="5F48AE5D" w14:textId="495C6E13" w:rsidR="00E52F23" w:rsidRPr="00F348D4" w:rsidRDefault="00E52F23" w:rsidP="006C3E1F">
            <w:pPr>
              <w:rPr>
                <w:rFonts w:ascii="Poppins" w:hAnsi="Poppins" w:cs="Poppins"/>
                <w:sz w:val="24"/>
                <w:szCs w:val="24"/>
              </w:rPr>
            </w:pPr>
            <w:r w:rsidRPr="00F348D4">
              <w:rPr>
                <w:rFonts w:ascii="Poppins" w:hAnsi="Poppins" w:cs="Poppins"/>
                <w:sz w:val="24"/>
                <w:szCs w:val="24"/>
              </w:rPr>
              <w:t xml:space="preserve">7. Any other relevant information </w:t>
            </w:r>
          </w:p>
        </w:tc>
      </w:tr>
      <w:tr w:rsidR="00E52F23" w:rsidRPr="007E7A65" w14:paraId="23F60E56" w14:textId="77777777" w:rsidTr="006C3E1F">
        <w:tc>
          <w:tcPr>
            <w:tcW w:w="9540" w:type="dxa"/>
            <w:tcBorders>
              <w:bottom w:val="single" w:sz="4" w:space="0" w:color="auto"/>
            </w:tcBorders>
            <w:shd w:val="clear" w:color="auto" w:fill="auto"/>
          </w:tcPr>
          <w:p w14:paraId="39E01BEA" w14:textId="77777777" w:rsidR="00E52F23" w:rsidRPr="00F348D4" w:rsidRDefault="00E52F23" w:rsidP="006C3E1F">
            <w:pPr>
              <w:rPr>
                <w:rFonts w:ascii="Poppins" w:hAnsi="Poppins" w:cs="Poppins"/>
                <w:sz w:val="24"/>
                <w:szCs w:val="24"/>
              </w:rPr>
            </w:pPr>
          </w:p>
          <w:p w14:paraId="659BC589" w14:textId="77777777" w:rsidR="00E52F23" w:rsidRPr="00F348D4" w:rsidRDefault="00E52F23" w:rsidP="006C3E1F">
            <w:pPr>
              <w:rPr>
                <w:rFonts w:ascii="Poppins" w:hAnsi="Poppins" w:cs="Poppins"/>
                <w:sz w:val="24"/>
                <w:szCs w:val="24"/>
              </w:rPr>
            </w:pPr>
          </w:p>
        </w:tc>
      </w:tr>
    </w:tbl>
    <w:p w14:paraId="2C8F0ACC" w14:textId="77777777" w:rsidR="00162938" w:rsidRDefault="00162938" w:rsidP="00E52F23"/>
    <w:sectPr w:rsidR="00162938">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3460" w14:textId="77777777" w:rsidR="000E23C6" w:rsidRDefault="000E23C6">
      <w:r>
        <w:separator/>
      </w:r>
    </w:p>
  </w:endnote>
  <w:endnote w:type="continuationSeparator" w:id="0">
    <w:p w14:paraId="0E3A395F" w14:textId="77777777" w:rsidR="000E23C6" w:rsidRDefault="000E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6EAE" w14:textId="6CF71E49" w:rsidR="00EF2625" w:rsidRDefault="00EF2625">
    <w:pPr>
      <w:pStyle w:val="Footer"/>
      <w:rPr>
        <w:sz w:val="18"/>
        <w:szCs w:val="18"/>
      </w:rPr>
    </w:pPr>
    <w:r w:rsidRPr="003B34EC">
      <w:rPr>
        <w:sz w:val="18"/>
        <w:szCs w:val="18"/>
      </w:rPr>
      <w:t xml:space="preserve">Background Documentation – </w:t>
    </w:r>
    <w:r w:rsidR="00272F45">
      <w:rPr>
        <w:sz w:val="18"/>
        <w:szCs w:val="18"/>
      </w:rPr>
      <w:t>Institutional Approval (SRMs)</w:t>
    </w:r>
    <w:r w:rsidRPr="003B34EC">
      <w:rPr>
        <w:sz w:val="18"/>
        <w:szCs w:val="18"/>
      </w:rPr>
      <w:tab/>
      <w:t xml:space="preserve">Page </w:t>
    </w:r>
    <w:r w:rsidRPr="003B34EC">
      <w:rPr>
        <w:sz w:val="18"/>
        <w:szCs w:val="18"/>
      </w:rPr>
      <w:fldChar w:fldCharType="begin"/>
    </w:r>
    <w:r w:rsidRPr="003B34EC">
      <w:rPr>
        <w:sz w:val="18"/>
        <w:szCs w:val="18"/>
      </w:rPr>
      <w:instrText xml:space="preserve"> PAGE </w:instrText>
    </w:r>
    <w:r w:rsidRPr="003B34EC">
      <w:rPr>
        <w:sz w:val="18"/>
        <w:szCs w:val="18"/>
      </w:rPr>
      <w:fldChar w:fldCharType="separate"/>
    </w:r>
    <w:r w:rsidR="008E4BF6">
      <w:rPr>
        <w:noProof/>
        <w:sz w:val="18"/>
        <w:szCs w:val="18"/>
      </w:rPr>
      <w:t>1</w:t>
    </w:r>
    <w:r w:rsidRPr="003B34EC">
      <w:rPr>
        <w:sz w:val="18"/>
        <w:szCs w:val="18"/>
      </w:rPr>
      <w:fldChar w:fldCharType="end"/>
    </w:r>
    <w:r w:rsidRPr="003B34EC">
      <w:rPr>
        <w:sz w:val="18"/>
        <w:szCs w:val="18"/>
      </w:rPr>
      <w:t xml:space="preserve"> of </w:t>
    </w:r>
    <w:r w:rsidRPr="003B34EC">
      <w:rPr>
        <w:sz w:val="18"/>
        <w:szCs w:val="18"/>
      </w:rPr>
      <w:fldChar w:fldCharType="begin"/>
    </w:r>
    <w:r w:rsidRPr="003B34EC">
      <w:rPr>
        <w:sz w:val="18"/>
        <w:szCs w:val="18"/>
      </w:rPr>
      <w:instrText xml:space="preserve"> NUMPAGES </w:instrText>
    </w:r>
    <w:r w:rsidRPr="003B34EC">
      <w:rPr>
        <w:sz w:val="18"/>
        <w:szCs w:val="18"/>
      </w:rPr>
      <w:fldChar w:fldCharType="separate"/>
    </w:r>
    <w:r w:rsidR="008E4BF6">
      <w:rPr>
        <w:noProof/>
        <w:sz w:val="18"/>
        <w:szCs w:val="18"/>
      </w:rPr>
      <w:t>3</w:t>
    </w:r>
    <w:r w:rsidRPr="003B34E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026E" w14:textId="77777777" w:rsidR="000E23C6" w:rsidRDefault="000E23C6">
      <w:r>
        <w:separator/>
      </w:r>
    </w:p>
  </w:footnote>
  <w:footnote w:type="continuationSeparator" w:id="0">
    <w:p w14:paraId="707A533E" w14:textId="77777777" w:rsidR="000E23C6" w:rsidRDefault="000E2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AFB6" w14:textId="4147A7CC" w:rsidR="00934C9A" w:rsidRDefault="00934C9A" w:rsidP="00272F45">
    <w:pPr>
      <w:pStyle w:val="Header"/>
      <w:ind w:left="6521"/>
    </w:pPr>
    <w:r>
      <w:rPr>
        <w:noProof/>
      </w:rPr>
      <w:drawing>
        <wp:inline distT="0" distB="0" distL="0" distR="0" wp14:anchorId="74FD07BC" wp14:editId="2A1EB434">
          <wp:extent cx="1678305" cy="630555"/>
          <wp:effectExtent l="0" t="0" r="17145"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F6C60"/>
    <w:multiLevelType w:val="hybridMultilevel"/>
    <w:tmpl w:val="D8CA57C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796F707D"/>
    <w:multiLevelType w:val="hybridMultilevel"/>
    <w:tmpl w:val="77A45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291456">
    <w:abstractNumId w:val="0"/>
  </w:num>
  <w:num w:numId="2" w16cid:durableId="318965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A46"/>
    <w:rsid w:val="00016715"/>
    <w:rsid w:val="00023118"/>
    <w:rsid w:val="000A352B"/>
    <w:rsid w:val="000B3B2C"/>
    <w:rsid w:val="000E23C6"/>
    <w:rsid w:val="001412C2"/>
    <w:rsid w:val="00162938"/>
    <w:rsid w:val="00166BD2"/>
    <w:rsid w:val="00176896"/>
    <w:rsid w:val="00183C91"/>
    <w:rsid w:val="001A0DA1"/>
    <w:rsid w:val="00201C30"/>
    <w:rsid w:val="0021103F"/>
    <w:rsid w:val="00221B42"/>
    <w:rsid w:val="00231464"/>
    <w:rsid w:val="002631C4"/>
    <w:rsid w:val="00272F45"/>
    <w:rsid w:val="002A0EB2"/>
    <w:rsid w:val="002D5961"/>
    <w:rsid w:val="002E6D2C"/>
    <w:rsid w:val="0034357D"/>
    <w:rsid w:val="00385DEA"/>
    <w:rsid w:val="003A20F4"/>
    <w:rsid w:val="003B34EC"/>
    <w:rsid w:val="003E0E9C"/>
    <w:rsid w:val="003E2C46"/>
    <w:rsid w:val="00420675"/>
    <w:rsid w:val="00475DAE"/>
    <w:rsid w:val="00491A65"/>
    <w:rsid w:val="004C67E9"/>
    <w:rsid w:val="004D168E"/>
    <w:rsid w:val="004F2537"/>
    <w:rsid w:val="005077F5"/>
    <w:rsid w:val="0058329A"/>
    <w:rsid w:val="00592734"/>
    <w:rsid w:val="005934FC"/>
    <w:rsid w:val="005A18C2"/>
    <w:rsid w:val="005A7A46"/>
    <w:rsid w:val="005D723A"/>
    <w:rsid w:val="005E4698"/>
    <w:rsid w:val="0063129A"/>
    <w:rsid w:val="0064140A"/>
    <w:rsid w:val="00641C75"/>
    <w:rsid w:val="00662662"/>
    <w:rsid w:val="00724388"/>
    <w:rsid w:val="0074310D"/>
    <w:rsid w:val="0075112C"/>
    <w:rsid w:val="00781176"/>
    <w:rsid w:val="00782FAE"/>
    <w:rsid w:val="007A2589"/>
    <w:rsid w:val="007E7A65"/>
    <w:rsid w:val="00850400"/>
    <w:rsid w:val="00851E6D"/>
    <w:rsid w:val="008530FA"/>
    <w:rsid w:val="00877974"/>
    <w:rsid w:val="00882012"/>
    <w:rsid w:val="008B540A"/>
    <w:rsid w:val="008E48E5"/>
    <w:rsid w:val="008E4BF6"/>
    <w:rsid w:val="009122CD"/>
    <w:rsid w:val="00934C9A"/>
    <w:rsid w:val="00950E76"/>
    <w:rsid w:val="00956AD9"/>
    <w:rsid w:val="009D20D7"/>
    <w:rsid w:val="00A002C3"/>
    <w:rsid w:val="00A05B1E"/>
    <w:rsid w:val="00A30327"/>
    <w:rsid w:val="00A47170"/>
    <w:rsid w:val="00A51472"/>
    <w:rsid w:val="00A5747E"/>
    <w:rsid w:val="00AA3E67"/>
    <w:rsid w:val="00AB11F8"/>
    <w:rsid w:val="00B0466B"/>
    <w:rsid w:val="00B1744C"/>
    <w:rsid w:val="00BB67A3"/>
    <w:rsid w:val="00BD3CA6"/>
    <w:rsid w:val="00BD60E1"/>
    <w:rsid w:val="00C07FF3"/>
    <w:rsid w:val="00C45834"/>
    <w:rsid w:val="00C84638"/>
    <w:rsid w:val="00D41CF5"/>
    <w:rsid w:val="00D60531"/>
    <w:rsid w:val="00DA2EC1"/>
    <w:rsid w:val="00E009CA"/>
    <w:rsid w:val="00E06329"/>
    <w:rsid w:val="00E13035"/>
    <w:rsid w:val="00E52F23"/>
    <w:rsid w:val="00E63EE9"/>
    <w:rsid w:val="00E81844"/>
    <w:rsid w:val="00EA3667"/>
    <w:rsid w:val="00EF2625"/>
    <w:rsid w:val="00F24A50"/>
    <w:rsid w:val="00F348D4"/>
    <w:rsid w:val="00F47804"/>
    <w:rsid w:val="00F84E29"/>
    <w:rsid w:val="00FA1CDA"/>
    <w:rsid w:val="00FA3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B5392"/>
  <w15:docId w15:val="{65BB8826-20F8-4590-91B9-BB41D677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0327"/>
    <w:rPr>
      <w:rFonts w:ascii="Tahoma" w:hAnsi="Tahoma" w:cs="Tahoma"/>
      <w:sz w:val="16"/>
      <w:szCs w:val="16"/>
    </w:rPr>
  </w:style>
  <w:style w:type="paragraph" w:styleId="Header">
    <w:name w:val="header"/>
    <w:basedOn w:val="Normal"/>
    <w:rsid w:val="003B34EC"/>
    <w:pPr>
      <w:tabs>
        <w:tab w:val="center" w:pos="4153"/>
        <w:tab w:val="right" w:pos="8306"/>
      </w:tabs>
    </w:pPr>
  </w:style>
  <w:style w:type="paragraph" w:styleId="Footer">
    <w:name w:val="footer"/>
    <w:basedOn w:val="Normal"/>
    <w:rsid w:val="003B34EC"/>
    <w:pPr>
      <w:tabs>
        <w:tab w:val="center" w:pos="4153"/>
        <w:tab w:val="right" w:pos="8306"/>
      </w:tabs>
    </w:pPr>
  </w:style>
  <w:style w:type="character" w:styleId="CommentReference">
    <w:name w:val="annotation reference"/>
    <w:basedOn w:val="DefaultParagraphFont"/>
    <w:semiHidden/>
    <w:rsid w:val="002A0EB2"/>
    <w:rPr>
      <w:sz w:val="16"/>
      <w:szCs w:val="16"/>
    </w:rPr>
  </w:style>
  <w:style w:type="paragraph" w:styleId="CommentText">
    <w:name w:val="annotation text"/>
    <w:basedOn w:val="Normal"/>
    <w:semiHidden/>
    <w:rsid w:val="002A0EB2"/>
    <w:rPr>
      <w:sz w:val="20"/>
      <w:szCs w:val="20"/>
    </w:rPr>
  </w:style>
  <w:style w:type="paragraph" w:styleId="CommentSubject">
    <w:name w:val="annotation subject"/>
    <w:basedOn w:val="CommentText"/>
    <w:next w:val="CommentText"/>
    <w:semiHidden/>
    <w:rsid w:val="002A0EB2"/>
    <w:rPr>
      <w:b/>
      <w:bCs/>
    </w:rPr>
  </w:style>
  <w:style w:type="paragraph" w:styleId="Revision">
    <w:name w:val="Revision"/>
    <w:hidden/>
    <w:uiPriority w:val="99"/>
    <w:semiHidden/>
    <w:rsid w:val="00201C30"/>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168</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for OU-validation – Background Information</vt:lpstr>
    </vt:vector>
  </TitlesOfParts>
  <Company>Open University</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 OU-validation – Background Information</dc:title>
  <dc:creator>jws34</dc:creator>
  <cp:lastModifiedBy>Alison.Dyton</cp:lastModifiedBy>
  <cp:revision>13</cp:revision>
  <cp:lastPrinted>2007-10-12T13:05:00Z</cp:lastPrinted>
  <dcterms:created xsi:type="dcterms:W3CDTF">2023-07-18T10:37:00Z</dcterms:created>
  <dcterms:modified xsi:type="dcterms:W3CDTF">2025-08-13T12:26:00Z</dcterms:modified>
</cp:coreProperties>
</file>