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AF626" w14:textId="77777777" w:rsidR="0014790C" w:rsidRDefault="00000000" w:rsidP="006C74DC">
      <w:pPr>
        <w:pStyle w:val="Heading1"/>
        <w:spacing w:line="360" w:lineRule="auto"/>
        <w:rPr>
          <w:rFonts w:ascii="Arial" w:hAnsi="Arial" w:cs="Arial"/>
          <w:sz w:val="32"/>
          <w:szCs w:val="32"/>
        </w:rPr>
      </w:pPr>
      <w:r w:rsidRPr="006C74DC">
        <w:rPr>
          <w:rFonts w:ascii="Arial" w:hAnsi="Arial" w:cs="Arial"/>
          <w:sz w:val="32"/>
          <w:szCs w:val="32"/>
        </w:rPr>
        <w:t>The Weight of the Pen: Legal Legacies and the Destruction of Murujuga</w:t>
      </w:r>
    </w:p>
    <w:p w14:paraId="4E01BFFC" w14:textId="18717FC3" w:rsidR="0014790C" w:rsidRPr="006C74DC" w:rsidRDefault="00000000" w:rsidP="006C74DC">
      <w:pPr>
        <w:spacing w:line="360" w:lineRule="auto"/>
        <w:rPr>
          <w:rFonts w:ascii="Arial" w:hAnsi="Arial" w:cs="Arial"/>
          <w:sz w:val="24"/>
          <w:szCs w:val="24"/>
        </w:rPr>
      </w:pPr>
      <w:r w:rsidRPr="006C74DC">
        <w:rPr>
          <w:rFonts w:ascii="Arial" w:hAnsi="Arial" w:cs="Arial"/>
          <w:sz w:val="24"/>
          <w:szCs w:val="24"/>
        </w:rPr>
        <w:t xml:space="preserve">As </w:t>
      </w:r>
      <w:r w:rsidR="006C74DC" w:rsidRPr="006C74DC">
        <w:rPr>
          <w:rFonts w:ascii="Arial" w:hAnsi="Arial" w:cs="Arial"/>
          <w:sz w:val="24"/>
          <w:szCs w:val="24"/>
        </w:rPr>
        <w:t>Law Students</w:t>
      </w:r>
      <w:r w:rsidRPr="006C74DC">
        <w:rPr>
          <w:rFonts w:ascii="Arial" w:hAnsi="Arial" w:cs="Arial"/>
          <w:sz w:val="24"/>
          <w:szCs w:val="24"/>
        </w:rPr>
        <w:t>, we are t</w:t>
      </w:r>
      <w:r w:rsidR="005338FA">
        <w:rPr>
          <w:rFonts w:ascii="Arial" w:hAnsi="Arial" w:cs="Arial"/>
          <w:sz w:val="24"/>
          <w:szCs w:val="24"/>
        </w:rPr>
        <w:t>aught</w:t>
      </w:r>
      <w:r w:rsidRPr="006C74DC">
        <w:rPr>
          <w:rFonts w:ascii="Arial" w:hAnsi="Arial" w:cs="Arial"/>
          <w:sz w:val="24"/>
          <w:szCs w:val="24"/>
        </w:rPr>
        <w:t xml:space="preserve"> to see contracts as tools</w:t>
      </w:r>
      <w:r w:rsidR="00532190">
        <w:rPr>
          <w:rFonts w:ascii="Arial" w:hAnsi="Arial" w:cs="Arial"/>
          <w:sz w:val="24"/>
          <w:szCs w:val="24"/>
        </w:rPr>
        <w:t xml:space="preserve">, as </w:t>
      </w:r>
      <w:r w:rsidRPr="006C74DC">
        <w:rPr>
          <w:rFonts w:ascii="Arial" w:hAnsi="Arial" w:cs="Arial"/>
          <w:sz w:val="24"/>
          <w:szCs w:val="24"/>
        </w:rPr>
        <w:t>vehicles for facilitating transactions, managing risk, and enabling progress. But what happens when the contracts we help draft become instruments of irreversible harm?</w:t>
      </w:r>
    </w:p>
    <w:p w14:paraId="342EF885" w14:textId="4CE5ABDA" w:rsidR="0014790C" w:rsidRDefault="00000000" w:rsidP="006C74DC">
      <w:pPr>
        <w:spacing w:line="360" w:lineRule="auto"/>
        <w:rPr>
          <w:rFonts w:ascii="Arial" w:hAnsi="Arial" w:cs="Arial"/>
          <w:sz w:val="24"/>
          <w:szCs w:val="24"/>
        </w:rPr>
      </w:pPr>
      <w:r w:rsidRPr="006C74DC">
        <w:rPr>
          <w:rFonts w:ascii="Arial" w:hAnsi="Arial" w:cs="Arial"/>
          <w:sz w:val="24"/>
          <w:szCs w:val="24"/>
        </w:rPr>
        <w:t xml:space="preserve">This is the question we must confront in the case of Woodside Energy’s Burrup Hub expansion, particularly the Pluto Train 2 project, which processes gas from the Scarborough field. While this may appear to be just another energy infrastructure project, </w:t>
      </w:r>
      <w:r w:rsidR="00484246">
        <w:rPr>
          <w:rFonts w:ascii="Arial" w:hAnsi="Arial" w:cs="Arial"/>
          <w:sz w:val="24"/>
          <w:szCs w:val="24"/>
        </w:rPr>
        <w:t>it poses at</w:t>
      </w:r>
      <w:r w:rsidRPr="006C74DC">
        <w:rPr>
          <w:rFonts w:ascii="Arial" w:hAnsi="Arial" w:cs="Arial"/>
          <w:sz w:val="24"/>
          <w:szCs w:val="24"/>
        </w:rPr>
        <w:t xml:space="preserve"> direct threat to Murujuga, home to the world’s oldest and most significant collection of Aboriginal rock art.</w:t>
      </w:r>
    </w:p>
    <w:p w14:paraId="53F7974E" w14:textId="2B5A672B" w:rsidR="003B0BAC" w:rsidRPr="006C74DC" w:rsidRDefault="003B0BAC" w:rsidP="003B0BAC">
      <w:pPr>
        <w:spacing w:line="360" w:lineRule="auto"/>
        <w:jc w:val="center"/>
        <w:rPr>
          <w:rFonts w:ascii="Arial" w:hAnsi="Arial" w:cs="Arial"/>
          <w:sz w:val="24"/>
          <w:szCs w:val="24"/>
        </w:rPr>
      </w:pPr>
      <w:r w:rsidRPr="00460E74">
        <w:rPr>
          <w:noProof/>
        </w:rPr>
        <w:drawing>
          <wp:inline distT="0" distB="0" distL="0" distR="0" wp14:anchorId="7B8D7C29" wp14:editId="0A9400E6">
            <wp:extent cx="5486400" cy="3782005"/>
            <wp:effectExtent l="0" t="0" r="0" b="9525"/>
            <wp:docPr id="387436648" name="Picture 3" descr="Scarborough Energy Project conceptual diagram ,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rborough Energy Project conceptual diagram , Pi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782005"/>
                    </a:xfrm>
                    <a:prstGeom prst="rect">
                      <a:avLst/>
                    </a:prstGeom>
                    <a:noFill/>
                    <a:ln>
                      <a:noFill/>
                    </a:ln>
                  </pic:spPr>
                </pic:pic>
              </a:graphicData>
            </a:graphic>
          </wp:inline>
        </w:drawing>
      </w:r>
      <w:r>
        <w:rPr>
          <w:rFonts w:ascii="Arial" w:hAnsi="Arial" w:cs="Arial"/>
          <w:i/>
          <w:iCs/>
        </w:rPr>
        <w:t xml:space="preserve">Image: </w:t>
      </w:r>
      <w:r w:rsidRPr="003B0BAC">
        <w:rPr>
          <w:rFonts w:ascii="Arial" w:hAnsi="Arial" w:cs="Arial"/>
          <w:i/>
          <w:iCs/>
        </w:rPr>
        <w:t>Scarborough Energy Project conceptual diagram (Woodside Energy, 2024)</w:t>
      </w:r>
    </w:p>
    <w:p w14:paraId="0900E0AF" w14:textId="77777777" w:rsidR="0014790C" w:rsidRPr="006C74DC" w:rsidRDefault="00000000" w:rsidP="006C74DC">
      <w:pPr>
        <w:pStyle w:val="Heading2"/>
        <w:spacing w:line="360" w:lineRule="auto"/>
        <w:rPr>
          <w:rFonts w:ascii="Arial" w:hAnsi="Arial" w:cs="Arial"/>
          <w:sz w:val="28"/>
          <w:szCs w:val="28"/>
        </w:rPr>
      </w:pPr>
      <w:r w:rsidRPr="006C74DC">
        <w:rPr>
          <w:rFonts w:ascii="Arial" w:hAnsi="Arial" w:cs="Arial"/>
          <w:sz w:val="28"/>
          <w:szCs w:val="28"/>
        </w:rPr>
        <w:lastRenderedPageBreak/>
        <w:t>Murujuga: A Living Archive of Humanity</w:t>
      </w:r>
    </w:p>
    <w:p w14:paraId="01B84F4D" w14:textId="77777777" w:rsidR="0014790C" w:rsidRPr="006C74DC" w:rsidRDefault="00000000" w:rsidP="006C74DC">
      <w:pPr>
        <w:spacing w:line="360" w:lineRule="auto"/>
        <w:rPr>
          <w:rFonts w:ascii="Arial" w:hAnsi="Arial" w:cs="Arial"/>
          <w:sz w:val="24"/>
          <w:szCs w:val="24"/>
        </w:rPr>
      </w:pPr>
      <w:r w:rsidRPr="006C74DC">
        <w:rPr>
          <w:rFonts w:ascii="Arial" w:hAnsi="Arial" w:cs="Arial"/>
          <w:sz w:val="24"/>
          <w:szCs w:val="24"/>
        </w:rPr>
        <w:t>Murujuga, also known as the Burrup Peninsula, is a sacred cultural landscape containing over two million petroglyphs, some dating back 40,000 years. These engravings form an unbroken narrative of human presence, including the oldest known depiction of a human face. According to Professor Benjamin Smith of Friends of Australian Rock Art, Murujuga is “the most important rock art site in the world.”</w:t>
      </w:r>
    </w:p>
    <w:p w14:paraId="16C6F984" w14:textId="70B5B360" w:rsidR="0014790C" w:rsidRDefault="00727C2B" w:rsidP="006C74DC">
      <w:pPr>
        <w:spacing w:line="360" w:lineRule="auto"/>
        <w:rPr>
          <w:rFonts w:ascii="Arial" w:hAnsi="Arial" w:cs="Arial"/>
          <w:sz w:val="24"/>
          <w:szCs w:val="24"/>
        </w:rPr>
      </w:pPr>
      <w:r w:rsidRPr="00727C2B">
        <w:rPr>
          <w:rFonts w:ascii="Arial" w:hAnsi="Arial" w:cs="Arial"/>
          <w:sz w:val="24"/>
          <w:szCs w:val="24"/>
        </w:rPr>
        <w:t>This rock art forms part of a dynamic, living ecosystem</w:t>
      </w:r>
      <w:r w:rsidRPr="006C74DC">
        <w:rPr>
          <w:rFonts w:ascii="Arial" w:hAnsi="Arial" w:cs="Arial"/>
          <w:sz w:val="24"/>
          <w:szCs w:val="24"/>
        </w:rPr>
        <w:t>. The engravings are etched into a delicate patina formed over millennia by natural processes involving minerals, bacteria, and fungi. This patina is highly sensitive to environmental changes, particularly acidic pollution.</w:t>
      </w:r>
    </w:p>
    <w:p w14:paraId="6A5F0DCD" w14:textId="77777777" w:rsidR="0014790C" w:rsidRPr="006C74DC" w:rsidRDefault="00000000" w:rsidP="006C74DC">
      <w:pPr>
        <w:pStyle w:val="Heading2"/>
        <w:spacing w:line="360" w:lineRule="auto"/>
        <w:rPr>
          <w:rFonts w:ascii="Arial" w:hAnsi="Arial" w:cs="Arial"/>
          <w:sz w:val="28"/>
          <w:szCs w:val="28"/>
        </w:rPr>
      </w:pPr>
      <w:r w:rsidRPr="006C74DC">
        <w:rPr>
          <w:rFonts w:ascii="Arial" w:hAnsi="Arial" w:cs="Arial"/>
          <w:sz w:val="28"/>
          <w:szCs w:val="28"/>
        </w:rPr>
        <w:t>The Acid Test: How Industry is Erasing History</w:t>
      </w:r>
    </w:p>
    <w:p w14:paraId="5BA161F0" w14:textId="77777777" w:rsidR="0014790C" w:rsidRPr="006C74DC" w:rsidRDefault="00000000" w:rsidP="006C74DC">
      <w:pPr>
        <w:spacing w:line="360" w:lineRule="auto"/>
        <w:rPr>
          <w:rFonts w:ascii="Arial" w:hAnsi="Arial" w:cs="Arial"/>
          <w:sz w:val="24"/>
          <w:szCs w:val="24"/>
        </w:rPr>
      </w:pPr>
      <w:r w:rsidRPr="006C74DC">
        <w:rPr>
          <w:rFonts w:ascii="Arial" w:hAnsi="Arial" w:cs="Arial"/>
          <w:sz w:val="24"/>
          <w:szCs w:val="24"/>
        </w:rPr>
        <w:t>Woodside’s LNG operations, including the Pluto Train 2 facility, emit acidic gases such as nitric oxide. These emissions mix with dew and rainfall, forming acids that dissolve the patina and destroy the rock art. Professor Smith’s research shows that pH levels on the rock surfaces have dropped from pre-industrial levels of 7 to as low as 3.8, a level that accelerates degradation.</w:t>
      </w:r>
    </w:p>
    <w:p w14:paraId="593726AD" w14:textId="45288C29" w:rsidR="0014790C" w:rsidRDefault="00000000" w:rsidP="006C74DC">
      <w:pPr>
        <w:spacing w:line="360" w:lineRule="auto"/>
        <w:rPr>
          <w:rFonts w:ascii="Arial" w:hAnsi="Arial" w:cs="Arial"/>
          <w:sz w:val="24"/>
          <w:szCs w:val="24"/>
        </w:rPr>
      </w:pPr>
      <w:r w:rsidRPr="006C74DC">
        <w:rPr>
          <w:rFonts w:ascii="Arial" w:hAnsi="Arial" w:cs="Arial"/>
          <w:sz w:val="24"/>
          <w:szCs w:val="24"/>
        </w:rPr>
        <w:t xml:space="preserve">Woodside’s own data reveals that 30% of the dust produced by gas processing falls directly on the rock surfaces. When combined with moisture, this dust becomes acidic and eats away at the rock. The damage is not </w:t>
      </w:r>
      <w:r w:rsidR="00532190" w:rsidRPr="006C74DC">
        <w:rPr>
          <w:rFonts w:ascii="Arial" w:hAnsi="Arial" w:cs="Arial"/>
          <w:sz w:val="24"/>
          <w:szCs w:val="24"/>
        </w:rPr>
        <w:t xml:space="preserve">hypothetical, </w:t>
      </w:r>
      <w:r w:rsidRPr="006C74DC">
        <w:rPr>
          <w:rFonts w:ascii="Arial" w:hAnsi="Arial" w:cs="Arial"/>
          <w:sz w:val="24"/>
          <w:szCs w:val="24"/>
        </w:rPr>
        <w:t xml:space="preserve">it is measurable, ongoing, and, if left unchecked, will result in the loss of significant portions of </w:t>
      </w:r>
      <w:r w:rsidR="00532190" w:rsidRPr="006C74DC">
        <w:rPr>
          <w:rFonts w:ascii="Arial" w:hAnsi="Arial" w:cs="Arial"/>
          <w:sz w:val="24"/>
          <w:szCs w:val="24"/>
        </w:rPr>
        <w:t>rock</w:t>
      </w:r>
      <w:r w:rsidRPr="006C74DC">
        <w:rPr>
          <w:rFonts w:ascii="Arial" w:hAnsi="Arial" w:cs="Arial"/>
          <w:sz w:val="24"/>
          <w:szCs w:val="24"/>
        </w:rPr>
        <w:t xml:space="preserve"> art within 40 years.</w:t>
      </w:r>
    </w:p>
    <w:p w14:paraId="30365B7B" w14:textId="692E8D43" w:rsidR="00465C99" w:rsidRPr="006C74DC" w:rsidRDefault="00465C99" w:rsidP="00465C99">
      <w:pPr>
        <w:spacing w:line="240" w:lineRule="auto"/>
        <w:rPr>
          <w:rFonts w:ascii="Arial" w:hAnsi="Arial" w:cs="Arial"/>
          <w:sz w:val="24"/>
          <w:szCs w:val="24"/>
        </w:rPr>
      </w:pPr>
      <w:r>
        <w:rPr>
          <w:noProof/>
        </w:rPr>
        <w:lastRenderedPageBreak/>
        <w:drawing>
          <wp:inline distT="0" distB="0" distL="0" distR="0" wp14:anchorId="05E32D31" wp14:editId="4F1A4E0E">
            <wp:extent cx="5486400" cy="3770630"/>
            <wp:effectExtent l="0" t="0" r="0" b="1270"/>
            <wp:docPr id="257835449" name="Picture 1" descr="A close-up of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35449" name="Picture 1" descr="A close-up of a rock&#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770630"/>
                    </a:xfrm>
                    <a:prstGeom prst="rect">
                      <a:avLst/>
                    </a:prstGeom>
                    <a:noFill/>
                    <a:ln>
                      <a:noFill/>
                    </a:ln>
                  </pic:spPr>
                </pic:pic>
              </a:graphicData>
            </a:graphic>
          </wp:inline>
        </w:drawing>
      </w:r>
      <w:r w:rsidRPr="00465C99">
        <w:t xml:space="preserve"> </w:t>
      </w:r>
      <w:r>
        <w:rPr>
          <w:rFonts w:ascii="Arial" w:hAnsi="Arial" w:cs="Arial"/>
        </w:rPr>
        <w:t xml:space="preserve">Image: </w:t>
      </w:r>
      <w:r w:rsidRPr="00465C99">
        <w:rPr>
          <w:rFonts w:ascii="Arial" w:hAnsi="Arial" w:cs="Arial"/>
          <w:i/>
          <w:iCs/>
          <w:sz w:val="24"/>
          <w:szCs w:val="24"/>
        </w:rPr>
        <w:t>Petroglyph #16. Extensive flaking is visible around and over this fish petroglyph that was not evident in the 1970s. Left a scanned slide by the Aboriginal Sites Department 1974. Right is a born digital image by B.W. Smith 2021. The red arrows show flaking of the rock varnish not evident in the 1974 image. Note that the top right corner of the rock is concealed by shadow in the 1974 image.</w:t>
      </w:r>
      <w:r>
        <w:rPr>
          <w:rFonts w:ascii="Arial" w:hAnsi="Arial" w:cs="Arial"/>
          <w:i/>
          <w:iCs/>
          <w:sz w:val="24"/>
          <w:szCs w:val="24"/>
        </w:rPr>
        <w:t xml:space="preserve"> (creative commons license) </w:t>
      </w:r>
      <w:r w:rsidRPr="00465C99">
        <w:rPr>
          <w:rFonts w:ascii="Arial" w:hAnsi="Arial" w:cs="Arial"/>
          <w:i/>
          <w:iCs/>
          <w:sz w:val="24"/>
          <w:szCs w:val="24"/>
        </w:rPr>
        <w:t xml:space="preserve">Smith, Benjamin &amp; Black, J. &amp; Mulvaney, Kenneth &amp; </w:t>
      </w:r>
      <w:proofErr w:type="spellStart"/>
      <w:r w:rsidRPr="00465C99">
        <w:rPr>
          <w:rFonts w:ascii="Arial" w:hAnsi="Arial" w:cs="Arial"/>
          <w:i/>
          <w:iCs/>
          <w:sz w:val="24"/>
          <w:szCs w:val="24"/>
        </w:rPr>
        <w:t>Hœrlé</w:t>
      </w:r>
      <w:proofErr w:type="spellEnd"/>
      <w:r w:rsidRPr="00465C99">
        <w:rPr>
          <w:rFonts w:ascii="Arial" w:hAnsi="Arial" w:cs="Arial"/>
          <w:i/>
          <w:iCs/>
          <w:sz w:val="24"/>
          <w:szCs w:val="24"/>
        </w:rPr>
        <w:t>, Stéphane. (2022). Monitoring Rock Art Decay: Archival Image Analysis of Petroglyphs on Murujuga, Western Australia. Conservation and Management of Archaeological Sites. 23. 1-23. 10.1080/13505033.2022.2131077.</w:t>
      </w:r>
    </w:p>
    <w:p w14:paraId="33D3A9AB" w14:textId="77777777" w:rsidR="0014790C" w:rsidRPr="006C74DC" w:rsidRDefault="00000000" w:rsidP="006C74DC">
      <w:pPr>
        <w:pStyle w:val="Heading2"/>
        <w:spacing w:line="360" w:lineRule="auto"/>
        <w:rPr>
          <w:rFonts w:ascii="Arial" w:hAnsi="Arial" w:cs="Arial"/>
          <w:sz w:val="28"/>
          <w:szCs w:val="28"/>
        </w:rPr>
      </w:pPr>
      <w:r w:rsidRPr="006C74DC">
        <w:rPr>
          <w:rFonts w:ascii="Arial" w:hAnsi="Arial" w:cs="Arial"/>
          <w:sz w:val="28"/>
          <w:szCs w:val="28"/>
        </w:rPr>
        <w:t>Legal Instruments of Destruction</w:t>
      </w:r>
    </w:p>
    <w:p w14:paraId="5A20D166" w14:textId="77777777" w:rsidR="0014790C" w:rsidRPr="006C74DC" w:rsidRDefault="00000000" w:rsidP="006C74DC">
      <w:pPr>
        <w:spacing w:line="360" w:lineRule="auto"/>
        <w:rPr>
          <w:rFonts w:ascii="Arial" w:hAnsi="Arial" w:cs="Arial"/>
          <w:sz w:val="24"/>
          <w:szCs w:val="24"/>
        </w:rPr>
      </w:pPr>
      <w:r w:rsidRPr="006C74DC">
        <w:rPr>
          <w:rFonts w:ascii="Arial" w:hAnsi="Arial" w:cs="Arial"/>
          <w:sz w:val="24"/>
          <w:szCs w:val="24"/>
        </w:rPr>
        <w:t>The legal foundation for this destruction lies in the 2003 Burrup and Maitland Industrial Estates Agreement (BMIEA). According to Professor Smith, this agreement was signed under pressure and misinformation, coercing the Aboriginal community into relinquishing control over 50% of their land. A “gag clause” in the agreement prevents Traditional Custodians from objecting to industrial development on that land.</w:t>
      </w:r>
    </w:p>
    <w:p w14:paraId="380E0C73" w14:textId="77777777" w:rsidR="0014790C" w:rsidRPr="006C74DC" w:rsidRDefault="00000000" w:rsidP="006C74DC">
      <w:pPr>
        <w:spacing w:line="360" w:lineRule="auto"/>
        <w:rPr>
          <w:rFonts w:ascii="Arial" w:hAnsi="Arial" w:cs="Arial"/>
          <w:sz w:val="24"/>
          <w:szCs w:val="24"/>
        </w:rPr>
      </w:pPr>
      <w:r w:rsidRPr="006C74DC">
        <w:rPr>
          <w:rFonts w:ascii="Arial" w:hAnsi="Arial" w:cs="Arial"/>
          <w:sz w:val="24"/>
          <w:szCs w:val="24"/>
        </w:rPr>
        <w:t xml:space="preserve">This clause has enabled the approval of projects like Pluto Train 2 without meaningful consultation or consent. The Western Australian Government has </w:t>
      </w:r>
      <w:r w:rsidRPr="006C74DC">
        <w:rPr>
          <w:rFonts w:ascii="Arial" w:hAnsi="Arial" w:cs="Arial"/>
          <w:sz w:val="24"/>
          <w:szCs w:val="24"/>
        </w:rPr>
        <w:lastRenderedPageBreak/>
        <w:t>even removed requirements for independent environmental monitoring, further weakening protections.</w:t>
      </w:r>
    </w:p>
    <w:p w14:paraId="0E005BD1" w14:textId="77777777" w:rsidR="0014790C" w:rsidRPr="006C74DC" w:rsidRDefault="00000000" w:rsidP="006C74DC">
      <w:pPr>
        <w:pStyle w:val="Heading2"/>
        <w:spacing w:line="360" w:lineRule="auto"/>
        <w:rPr>
          <w:rFonts w:ascii="Arial" w:hAnsi="Arial" w:cs="Arial"/>
          <w:sz w:val="28"/>
          <w:szCs w:val="28"/>
        </w:rPr>
      </w:pPr>
      <w:r w:rsidRPr="006C74DC">
        <w:rPr>
          <w:rFonts w:ascii="Arial" w:hAnsi="Arial" w:cs="Arial"/>
          <w:sz w:val="28"/>
          <w:szCs w:val="28"/>
        </w:rPr>
        <w:t>The Role of Law Firms: Complicity or Accountability?</w:t>
      </w:r>
    </w:p>
    <w:p w14:paraId="3ECF11B4" w14:textId="7C5D2D95" w:rsidR="0014790C" w:rsidRPr="006C74DC" w:rsidRDefault="00000000" w:rsidP="006C74DC">
      <w:pPr>
        <w:spacing w:line="360" w:lineRule="auto"/>
        <w:rPr>
          <w:rFonts w:ascii="Arial" w:hAnsi="Arial" w:cs="Arial"/>
          <w:sz w:val="24"/>
          <w:szCs w:val="24"/>
        </w:rPr>
      </w:pPr>
      <w:r w:rsidRPr="006C74DC">
        <w:rPr>
          <w:rFonts w:ascii="Arial" w:hAnsi="Arial" w:cs="Arial"/>
          <w:sz w:val="24"/>
          <w:szCs w:val="24"/>
        </w:rPr>
        <w:t>Law firms that facilitate contracts for projects like Pluto Train 2 are not neutral actors. Their work is a critical step in enabling developments that violate Indigenous rights, accelerate climate change, and destroy irreplaceable cultural heritage. As Professor Smith put it, “The liquefying of gas isn’t the issue</w:t>
      </w:r>
      <w:r w:rsidR="00BD0723">
        <w:rPr>
          <w:rFonts w:ascii="Arial" w:hAnsi="Arial" w:cs="Arial"/>
          <w:sz w:val="24"/>
          <w:szCs w:val="24"/>
        </w:rPr>
        <w:t xml:space="preserve">, </w:t>
      </w:r>
      <w:r w:rsidRPr="006C74DC">
        <w:rPr>
          <w:rFonts w:ascii="Arial" w:hAnsi="Arial" w:cs="Arial"/>
          <w:sz w:val="24"/>
          <w:szCs w:val="24"/>
        </w:rPr>
        <w:t>it’s the energy used to do it.” If powered by green energy, the local environmental damage could be avoided. But the broader issue remains: these contracts enable the continued extraction and burning of fossil fuels.</w:t>
      </w:r>
    </w:p>
    <w:p w14:paraId="28E709BF" w14:textId="77777777" w:rsidR="0014790C" w:rsidRDefault="00000000" w:rsidP="006C74DC">
      <w:pPr>
        <w:spacing w:line="360" w:lineRule="auto"/>
        <w:rPr>
          <w:rFonts w:ascii="Arial" w:hAnsi="Arial" w:cs="Arial"/>
          <w:sz w:val="24"/>
          <w:szCs w:val="24"/>
        </w:rPr>
      </w:pPr>
      <w:r w:rsidRPr="006C74DC">
        <w:rPr>
          <w:rFonts w:ascii="Arial" w:hAnsi="Arial" w:cs="Arial"/>
          <w:sz w:val="24"/>
          <w:szCs w:val="24"/>
        </w:rPr>
        <w:t>The Environmental Protection Authority (EPA) has already stated that current regulatory conditions are inadequate to protect Murujuga. Yet, law firms continue to draft and execute contracts that ignore these warnings.</w:t>
      </w:r>
    </w:p>
    <w:p w14:paraId="4A1CA916" w14:textId="77777777" w:rsidR="00C01098" w:rsidRPr="00465C99" w:rsidRDefault="00C01098" w:rsidP="00C01098">
      <w:pPr>
        <w:jc w:val="center"/>
      </w:pPr>
      <w:r>
        <w:rPr>
          <w:noProof/>
        </w:rPr>
        <w:drawing>
          <wp:inline distT="0" distB="0" distL="0" distR="0" wp14:anchorId="4546C521" wp14:editId="47055E40">
            <wp:extent cx="2917825" cy="4359275"/>
            <wp:effectExtent l="0" t="0" r="0" b="3175"/>
            <wp:docPr id="129983641" name="Picture 2" descr="Black smoke from the natural gas flaring towers. Image by R. Chappl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smoke from the natural gas flaring towers. Image by R. Chapple 20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825" cy="4359275"/>
                    </a:xfrm>
                    <a:prstGeom prst="rect">
                      <a:avLst/>
                    </a:prstGeom>
                    <a:noFill/>
                    <a:ln>
                      <a:noFill/>
                    </a:ln>
                  </pic:spPr>
                </pic:pic>
              </a:graphicData>
            </a:graphic>
          </wp:inline>
        </w:drawing>
      </w:r>
    </w:p>
    <w:p w14:paraId="4792142C" w14:textId="73F83AAF" w:rsidR="00C01098" w:rsidRPr="00C01098" w:rsidRDefault="00C01098" w:rsidP="00C01098">
      <w:pPr>
        <w:spacing w:line="240" w:lineRule="auto"/>
        <w:jc w:val="center"/>
        <w:rPr>
          <w:rFonts w:ascii="Arial" w:hAnsi="Arial" w:cs="Arial"/>
          <w:i/>
          <w:iCs/>
          <w:sz w:val="24"/>
          <w:szCs w:val="24"/>
          <w:lang w:val="en-GB"/>
        </w:rPr>
      </w:pPr>
      <w:r w:rsidRPr="00465C99">
        <w:rPr>
          <w:rFonts w:ascii="Arial" w:hAnsi="Arial" w:cs="Arial"/>
          <w:i/>
          <w:iCs/>
          <w:sz w:val="24"/>
          <w:szCs w:val="24"/>
          <w:lang w:val="en-GB"/>
        </w:rPr>
        <w:lastRenderedPageBreak/>
        <w:t>Black smoke from the natural gas flaring towers. Image by R. Chapple 2017.</w:t>
      </w:r>
    </w:p>
    <w:p w14:paraId="426DB8AE" w14:textId="46EDE7EE" w:rsidR="0014790C" w:rsidRPr="006C74DC" w:rsidRDefault="00000000" w:rsidP="006C74DC">
      <w:pPr>
        <w:pStyle w:val="Heading2"/>
        <w:spacing w:line="360" w:lineRule="auto"/>
        <w:rPr>
          <w:rFonts w:ascii="Arial" w:hAnsi="Arial" w:cs="Arial"/>
          <w:sz w:val="28"/>
          <w:szCs w:val="28"/>
        </w:rPr>
      </w:pPr>
      <w:r w:rsidRPr="006C74DC">
        <w:rPr>
          <w:rFonts w:ascii="Arial" w:hAnsi="Arial" w:cs="Arial"/>
          <w:sz w:val="28"/>
          <w:szCs w:val="28"/>
        </w:rPr>
        <w:t>A Legacy Written in Stone</w:t>
      </w:r>
      <w:r w:rsidR="00BD0723">
        <w:rPr>
          <w:rFonts w:ascii="Arial" w:hAnsi="Arial" w:cs="Arial"/>
          <w:sz w:val="28"/>
          <w:szCs w:val="28"/>
        </w:rPr>
        <w:t>…</w:t>
      </w:r>
      <w:r w:rsidRPr="006C74DC">
        <w:rPr>
          <w:rFonts w:ascii="Arial" w:hAnsi="Arial" w:cs="Arial"/>
          <w:sz w:val="28"/>
          <w:szCs w:val="28"/>
        </w:rPr>
        <w:t>and Acid</w:t>
      </w:r>
    </w:p>
    <w:p w14:paraId="0652D251" w14:textId="4AF9BFF7" w:rsidR="0014790C" w:rsidRPr="006C74DC" w:rsidRDefault="00000000" w:rsidP="006C74DC">
      <w:pPr>
        <w:spacing w:line="360" w:lineRule="auto"/>
        <w:rPr>
          <w:rFonts w:ascii="Arial" w:hAnsi="Arial" w:cs="Arial"/>
          <w:sz w:val="24"/>
          <w:szCs w:val="24"/>
        </w:rPr>
      </w:pPr>
      <w:r w:rsidRPr="006C74DC">
        <w:rPr>
          <w:rFonts w:ascii="Arial" w:hAnsi="Arial" w:cs="Arial"/>
          <w:sz w:val="24"/>
          <w:szCs w:val="24"/>
        </w:rPr>
        <w:t>This is not just about environmental degradation. It is about cultural genocide, as described by Traditional Custodians and the UN Human Rights Committee. The destruction of Murujuga is a continuation of colonial violence</w:t>
      </w:r>
      <w:r w:rsidR="00BD0723">
        <w:rPr>
          <w:rFonts w:ascii="Arial" w:hAnsi="Arial" w:cs="Arial"/>
          <w:sz w:val="24"/>
          <w:szCs w:val="24"/>
        </w:rPr>
        <w:t xml:space="preserve">, </w:t>
      </w:r>
      <w:r w:rsidRPr="006C74DC">
        <w:rPr>
          <w:rFonts w:ascii="Arial" w:hAnsi="Arial" w:cs="Arial"/>
          <w:sz w:val="24"/>
          <w:szCs w:val="24"/>
        </w:rPr>
        <w:t>this time executed not with guns, but with legal documents.</w:t>
      </w:r>
    </w:p>
    <w:p w14:paraId="325B1E81" w14:textId="77777777" w:rsidR="0014790C" w:rsidRPr="006C74DC" w:rsidRDefault="00000000" w:rsidP="006C74DC">
      <w:pPr>
        <w:spacing w:line="360" w:lineRule="auto"/>
        <w:rPr>
          <w:rFonts w:ascii="Arial" w:hAnsi="Arial" w:cs="Arial"/>
          <w:sz w:val="24"/>
          <w:szCs w:val="24"/>
        </w:rPr>
      </w:pPr>
      <w:r w:rsidRPr="006C74DC">
        <w:rPr>
          <w:rFonts w:ascii="Arial" w:hAnsi="Arial" w:cs="Arial"/>
          <w:sz w:val="24"/>
          <w:szCs w:val="24"/>
        </w:rPr>
        <w:t>As law students, we are taught to consider the duty of care in our work. That duty must extend beyond clients and contracts to the communities and cultures affected by our actions. The “weight of the pen” is real. It can either protect or destroy.</w:t>
      </w:r>
    </w:p>
    <w:p w14:paraId="6CAE13BA" w14:textId="77777777" w:rsidR="0014790C" w:rsidRDefault="00000000" w:rsidP="006C74DC">
      <w:pPr>
        <w:spacing w:line="360" w:lineRule="auto"/>
        <w:rPr>
          <w:rFonts w:ascii="Arial" w:hAnsi="Arial" w:cs="Arial"/>
          <w:b/>
          <w:bCs/>
          <w:sz w:val="24"/>
          <w:szCs w:val="24"/>
        </w:rPr>
      </w:pPr>
      <w:r w:rsidRPr="006C74DC">
        <w:rPr>
          <w:rFonts w:ascii="Arial" w:hAnsi="Arial" w:cs="Arial"/>
          <w:b/>
          <w:bCs/>
          <w:sz w:val="24"/>
          <w:szCs w:val="24"/>
        </w:rPr>
        <w:t>We must ask ourselves: What kind of legacy do we want to leave?</w:t>
      </w:r>
    </w:p>
    <w:p w14:paraId="198D25B5" w14:textId="77777777" w:rsidR="00952802" w:rsidRDefault="00952802" w:rsidP="00952802">
      <w:pPr>
        <w:spacing w:line="360" w:lineRule="auto"/>
        <w:rPr>
          <w:rFonts w:ascii="Arial" w:hAnsi="Arial" w:cs="Arial"/>
          <w:sz w:val="24"/>
          <w:szCs w:val="24"/>
        </w:rPr>
      </w:pPr>
    </w:p>
    <w:p w14:paraId="424FCE1B" w14:textId="74E95977" w:rsidR="00952802" w:rsidRDefault="00952802" w:rsidP="00952802">
      <w:pPr>
        <w:spacing w:line="360" w:lineRule="auto"/>
        <w:rPr>
          <w:rFonts w:ascii="Arial" w:hAnsi="Arial" w:cs="Arial"/>
          <w:sz w:val="24"/>
          <w:szCs w:val="24"/>
        </w:rPr>
      </w:pPr>
      <w:r>
        <w:rPr>
          <w:rFonts w:ascii="Arial" w:hAnsi="Arial" w:cs="Arial"/>
          <w:sz w:val="24"/>
          <w:szCs w:val="24"/>
        </w:rPr>
        <w:t xml:space="preserve">Now, more than ever, it is time for law firms to consider their actions. As Woodside have managed to secure a 50-year extension, despite a record number of appeals lodged against the decision. Is money </w:t>
      </w:r>
      <w:r w:rsidR="00532190">
        <w:rPr>
          <w:rFonts w:ascii="Arial" w:hAnsi="Arial" w:cs="Arial"/>
          <w:sz w:val="24"/>
          <w:szCs w:val="24"/>
        </w:rPr>
        <w:t>worth</w:t>
      </w:r>
      <w:r>
        <w:rPr>
          <w:rFonts w:ascii="Arial" w:hAnsi="Arial" w:cs="Arial"/>
          <w:sz w:val="24"/>
          <w:szCs w:val="24"/>
        </w:rPr>
        <w:t xml:space="preserve"> more than history, culture, and climate? No amount of money towards carbon offsets will bring back the heritage lost through pollution.</w:t>
      </w:r>
    </w:p>
    <w:p w14:paraId="07B62FDE" w14:textId="0EDC4FB9" w:rsidR="00952802" w:rsidRDefault="00952802" w:rsidP="00952802">
      <w:pPr>
        <w:spacing w:line="360" w:lineRule="auto"/>
        <w:rPr>
          <w:rFonts w:ascii="Arial" w:hAnsi="Arial" w:cs="Arial"/>
          <w:sz w:val="24"/>
          <w:szCs w:val="24"/>
        </w:rPr>
      </w:pPr>
      <w:r w:rsidRPr="00952802">
        <w:rPr>
          <w:rFonts w:ascii="Arial" w:hAnsi="Arial" w:cs="Arial"/>
          <w:sz w:val="24"/>
          <w:szCs w:val="24"/>
        </w:rPr>
        <w:t>As law students, we're taught that not only is it important to uphold the rule of law, but also to consider the moral responsibility to do the right thing. When the infrastructure in place to protect the concerns of people and communities fails to do so, what legacy are they leaving behind? Is this the future that awaits us in our legal careers?</w:t>
      </w:r>
    </w:p>
    <w:p w14:paraId="3EC044FE" w14:textId="77777777" w:rsidR="008D462E" w:rsidRPr="00952802" w:rsidRDefault="008D462E" w:rsidP="00952802">
      <w:pPr>
        <w:spacing w:line="360" w:lineRule="auto"/>
        <w:rPr>
          <w:rFonts w:ascii="Arial" w:hAnsi="Arial" w:cs="Arial"/>
          <w:sz w:val="24"/>
          <w:szCs w:val="24"/>
        </w:rPr>
      </w:pPr>
    </w:p>
    <w:p w14:paraId="3D4AAB23" w14:textId="7356FD09" w:rsidR="00952802" w:rsidRDefault="00952802" w:rsidP="00952802">
      <w:pPr>
        <w:spacing w:line="360" w:lineRule="auto"/>
        <w:rPr>
          <w:rFonts w:ascii="Arial" w:hAnsi="Arial" w:cs="Arial"/>
          <w:sz w:val="24"/>
          <w:szCs w:val="24"/>
        </w:rPr>
      </w:pPr>
      <w:r w:rsidRPr="00952802">
        <w:rPr>
          <w:rFonts w:ascii="Arial" w:hAnsi="Arial" w:cs="Arial"/>
          <w:sz w:val="24"/>
          <w:szCs w:val="24"/>
        </w:rPr>
        <w:t>The weight of the pen is heavy, and it is our responsibility to ensure that it is used to protect, not destroy. The legacy we leave behind will be judged by our actions today. Let us choose to stand on the right side of history.</w:t>
      </w:r>
    </w:p>
    <w:p w14:paraId="7C460FA9" w14:textId="77777777" w:rsidR="00171C1C" w:rsidRDefault="00171C1C" w:rsidP="00952802">
      <w:pPr>
        <w:spacing w:line="360" w:lineRule="auto"/>
        <w:rPr>
          <w:rFonts w:ascii="Arial" w:hAnsi="Arial" w:cs="Arial"/>
          <w:sz w:val="24"/>
          <w:szCs w:val="24"/>
        </w:rPr>
      </w:pPr>
    </w:p>
    <w:p w14:paraId="048C1743" w14:textId="0D727D85" w:rsidR="00171C1C" w:rsidRDefault="00171C1C" w:rsidP="00952802">
      <w:pPr>
        <w:spacing w:line="360" w:lineRule="auto"/>
        <w:rPr>
          <w:rFonts w:ascii="Arial" w:hAnsi="Arial" w:cs="Arial"/>
          <w:sz w:val="24"/>
          <w:szCs w:val="24"/>
        </w:rPr>
      </w:pPr>
      <w:r>
        <w:rPr>
          <w:rFonts w:ascii="Arial" w:hAnsi="Arial" w:cs="Arial"/>
          <w:sz w:val="24"/>
          <w:szCs w:val="24"/>
        </w:rPr>
        <w:lastRenderedPageBreak/>
        <w:t xml:space="preserve">If you’re interested in the Australian Rock Art and the work of Professor Smith to preserve it for future generations, watch this video from the Australian Institute which was released after the writing of this Post. </w:t>
      </w:r>
      <w:hyperlink r:id="rId12" w:history="1">
        <w:r w:rsidRPr="007B385C">
          <w:rPr>
            <w:rStyle w:val="Hyperlink"/>
            <w:rFonts w:ascii="Arial" w:hAnsi="Arial" w:cs="Arial"/>
            <w:sz w:val="24"/>
            <w:szCs w:val="24"/>
          </w:rPr>
          <w:t>https://australiainstitute.org.au/post/video-report-the-fight-to-save-murujuga/</w:t>
        </w:r>
      </w:hyperlink>
      <w:r>
        <w:rPr>
          <w:rFonts w:ascii="Arial" w:hAnsi="Arial" w:cs="Arial"/>
          <w:sz w:val="24"/>
          <w:szCs w:val="24"/>
        </w:rPr>
        <w:t xml:space="preserve"> </w:t>
      </w:r>
    </w:p>
    <w:p w14:paraId="62510936" w14:textId="77777777" w:rsidR="00A43576" w:rsidRDefault="00A43576" w:rsidP="00952802">
      <w:pPr>
        <w:spacing w:line="360" w:lineRule="auto"/>
        <w:rPr>
          <w:rFonts w:ascii="Arial" w:hAnsi="Arial" w:cs="Arial"/>
          <w:sz w:val="24"/>
          <w:szCs w:val="24"/>
        </w:rPr>
      </w:pPr>
    </w:p>
    <w:p w14:paraId="0998778C" w14:textId="4209CA8C" w:rsidR="00FE0DCD" w:rsidRPr="00FE0DCD" w:rsidRDefault="00FE0DCD" w:rsidP="00952802">
      <w:pPr>
        <w:spacing w:line="360" w:lineRule="auto"/>
        <w:rPr>
          <w:rFonts w:ascii="Arial" w:hAnsi="Arial" w:cs="Arial"/>
          <w:b/>
          <w:bCs/>
          <w:u w:val="single"/>
        </w:rPr>
      </w:pPr>
      <w:r w:rsidRPr="00FE0DCD">
        <w:rPr>
          <w:rFonts w:ascii="Arial" w:hAnsi="Arial" w:cs="Arial"/>
          <w:b/>
          <w:bCs/>
          <w:u w:val="single"/>
        </w:rPr>
        <w:t>Notes:</w:t>
      </w:r>
    </w:p>
    <w:p w14:paraId="2320C83B" w14:textId="1EDC241B" w:rsidR="00171C1C" w:rsidRPr="00FE0DCD" w:rsidRDefault="00A43576" w:rsidP="00952802">
      <w:pPr>
        <w:spacing w:line="360" w:lineRule="auto"/>
        <w:rPr>
          <w:rFonts w:ascii="Arial" w:hAnsi="Arial" w:cs="Arial"/>
        </w:rPr>
      </w:pPr>
      <w:r w:rsidRPr="00FE0DCD">
        <w:rPr>
          <w:rFonts w:ascii="Arial" w:hAnsi="Arial" w:cs="Arial"/>
        </w:rPr>
        <w:t>Special Thanks to Professor Benjamin Smith,</w:t>
      </w:r>
      <w:r w:rsidR="00C34098" w:rsidRPr="00FE0DCD">
        <w:rPr>
          <w:rFonts w:ascii="Arial" w:hAnsi="Arial" w:cs="Arial"/>
        </w:rPr>
        <w:t xml:space="preserve"> a leading authority on archaeology in the Burrup area,</w:t>
      </w:r>
      <w:r w:rsidRPr="00FE0DCD">
        <w:rPr>
          <w:rFonts w:ascii="Arial" w:hAnsi="Arial" w:cs="Arial"/>
        </w:rPr>
        <w:t xml:space="preserve"> who gave up his valuable time to </w:t>
      </w:r>
      <w:r w:rsidR="000F54E4" w:rsidRPr="00FE0DCD">
        <w:rPr>
          <w:rFonts w:ascii="Arial" w:hAnsi="Arial" w:cs="Arial"/>
        </w:rPr>
        <w:t>provide valuable insight into the issue</w:t>
      </w:r>
      <w:r w:rsidR="00C34098" w:rsidRPr="00FE0DCD">
        <w:rPr>
          <w:rFonts w:ascii="Arial" w:hAnsi="Arial" w:cs="Arial"/>
        </w:rPr>
        <w:t>.</w:t>
      </w:r>
    </w:p>
    <w:p w14:paraId="7CDA82B2" w14:textId="2AADB23D" w:rsidR="005338FA" w:rsidRDefault="005338FA">
      <w:pPr>
        <w:rPr>
          <w:rFonts w:ascii="Arial" w:hAnsi="Arial" w:cs="Arial"/>
          <w:sz w:val="24"/>
          <w:szCs w:val="24"/>
        </w:rPr>
      </w:pPr>
      <w:r>
        <w:rPr>
          <w:rFonts w:ascii="Arial" w:hAnsi="Arial" w:cs="Arial"/>
          <w:sz w:val="24"/>
          <w:szCs w:val="24"/>
        </w:rPr>
        <w:br w:type="page"/>
      </w:r>
    </w:p>
    <w:p w14:paraId="649B9471" w14:textId="77777777" w:rsidR="008D462E" w:rsidRDefault="008D462E" w:rsidP="00952802">
      <w:pPr>
        <w:spacing w:line="360" w:lineRule="auto"/>
        <w:rPr>
          <w:rFonts w:ascii="Arial" w:hAnsi="Arial" w:cs="Arial"/>
          <w:sz w:val="24"/>
          <w:szCs w:val="24"/>
        </w:rPr>
      </w:pPr>
    </w:p>
    <w:p w14:paraId="35AF0D1E" w14:textId="234E518E" w:rsidR="008D462E" w:rsidRDefault="008D462E" w:rsidP="00952802">
      <w:pPr>
        <w:spacing w:line="360" w:lineRule="auto"/>
        <w:rPr>
          <w:rFonts w:ascii="Arial" w:hAnsi="Arial" w:cs="Arial"/>
          <w:b/>
          <w:bCs/>
          <w:sz w:val="24"/>
          <w:szCs w:val="24"/>
          <w:u w:val="single"/>
        </w:rPr>
      </w:pPr>
      <w:r w:rsidRPr="008D462E">
        <w:rPr>
          <w:rFonts w:ascii="Arial" w:hAnsi="Arial" w:cs="Arial"/>
          <w:b/>
          <w:bCs/>
          <w:sz w:val="24"/>
          <w:szCs w:val="24"/>
          <w:u w:val="single"/>
        </w:rPr>
        <w:t>References</w:t>
      </w:r>
    </w:p>
    <w:p w14:paraId="5569AFA1" w14:textId="134CBD90" w:rsidR="008D462E" w:rsidRPr="00AF231E" w:rsidRDefault="008D462E" w:rsidP="008D462E">
      <w:pPr>
        <w:spacing w:line="360" w:lineRule="auto"/>
        <w:rPr>
          <w:rFonts w:cs="Segoe UI"/>
          <w:sz w:val="20"/>
          <w:szCs w:val="20"/>
        </w:rPr>
      </w:pPr>
      <w:r w:rsidRPr="00AF231E">
        <w:rPr>
          <w:rFonts w:cs="Segoe UI"/>
          <w:sz w:val="20"/>
          <w:szCs w:val="20"/>
        </w:rPr>
        <w:t xml:space="preserve">Smith, Benjamin &amp; Black, J. &amp; </w:t>
      </w:r>
      <w:proofErr w:type="spellStart"/>
      <w:r w:rsidRPr="00AF231E">
        <w:rPr>
          <w:rFonts w:cs="Segoe UI"/>
          <w:sz w:val="20"/>
          <w:szCs w:val="20"/>
        </w:rPr>
        <w:t>Hoerlé</w:t>
      </w:r>
      <w:proofErr w:type="spellEnd"/>
      <w:r w:rsidRPr="00AF231E">
        <w:rPr>
          <w:rFonts w:cs="Segoe UI"/>
          <w:sz w:val="20"/>
          <w:szCs w:val="20"/>
        </w:rPr>
        <w:t>, Stéphane &amp; Ferland, Marie &amp; Diffey, Simon &amp; Neumann, Jolam &amp; Geisler-Wierwille, Thorsten. (2022). The Impact of Industrial Pollution on the Rock Art of Murujuga, Western Australia. Rock Art Research. 39. 3-14.</w:t>
      </w:r>
      <w:r w:rsidR="00AF231E" w:rsidRPr="00AF231E">
        <w:rPr>
          <w:rFonts w:cs="Segoe UI"/>
          <w:sz w:val="20"/>
          <w:szCs w:val="20"/>
        </w:rPr>
        <w:t xml:space="preserve"> </w:t>
      </w:r>
      <w:r w:rsidR="00AF231E" w:rsidRPr="00AF231E">
        <w:rPr>
          <w:sz w:val="20"/>
          <w:szCs w:val="20"/>
        </w:rPr>
        <w:t xml:space="preserve">Available at: </w:t>
      </w:r>
      <w:hyperlink r:id="rId13" w:history="1">
        <w:r w:rsidR="00AF231E" w:rsidRPr="00AF231E">
          <w:rPr>
            <w:rStyle w:val="Hyperlink"/>
            <w:sz w:val="20"/>
            <w:szCs w:val="20"/>
          </w:rPr>
          <w:t>https://www.researchgate.net/publication/355393113_The_Impact_of_Industrial_Pollution_on_the_Rock_Art_of_Murujuga_Western_Australia</w:t>
        </w:r>
      </w:hyperlink>
      <w:r w:rsidR="00AF231E" w:rsidRPr="00AF231E">
        <w:rPr>
          <w:sz w:val="20"/>
          <w:szCs w:val="20"/>
        </w:rPr>
        <w:t> </w:t>
      </w:r>
    </w:p>
    <w:p w14:paraId="56024D88" w14:textId="77777777" w:rsidR="00AF231E" w:rsidRPr="00AF231E" w:rsidRDefault="00AF231E" w:rsidP="00AF231E">
      <w:pPr>
        <w:rPr>
          <w:sz w:val="20"/>
          <w:szCs w:val="20"/>
        </w:rPr>
      </w:pPr>
      <w:r w:rsidRPr="00AF231E">
        <w:rPr>
          <w:sz w:val="20"/>
          <w:szCs w:val="20"/>
        </w:rPr>
        <w:t xml:space="preserve">Australian Conservation Foundation (2022), </w:t>
      </w:r>
      <w:r w:rsidRPr="00AF231E">
        <w:rPr>
          <w:i/>
          <w:iCs/>
          <w:sz w:val="20"/>
          <w:szCs w:val="20"/>
        </w:rPr>
        <w:t>What is Woodside’s Controversial Scarborough gas project?</w:t>
      </w:r>
      <w:r w:rsidRPr="00AF231E">
        <w:rPr>
          <w:sz w:val="20"/>
          <w:szCs w:val="20"/>
        </w:rPr>
        <w:t xml:space="preserve"> Available at </w:t>
      </w:r>
      <w:hyperlink r:id="rId14" w:tgtFrame="_blank" w:history="1">
        <w:r w:rsidRPr="00AF231E">
          <w:rPr>
            <w:rStyle w:val="Hyperlink"/>
            <w:sz w:val="20"/>
            <w:szCs w:val="20"/>
          </w:rPr>
          <w:t>https://www.acf.org.au/what-is-scarborough-project</w:t>
        </w:r>
      </w:hyperlink>
      <w:r w:rsidRPr="00AF231E">
        <w:rPr>
          <w:sz w:val="20"/>
          <w:szCs w:val="20"/>
        </w:rPr>
        <w:t xml:space="preserve"> (accessed: 27 April 2025). </w:t>
      </w:r>
    </w:p>
    <w:p w14:paraId="6797EA3D" w14:textId="77777777" w:rsidR="00AF231E" w:rsidRPr="00AF231E" w:rsidRDefault="00AF231E" w:rsidP="00AF231E">
      <w:pPr>
        <w:rPr>
          <w:sz w:val="20"/>
          <w:szCs w:val="20"/>
        </w:rPr>
      </w:pPr>
      <w:r w:rsidRPr="00AF231E">
        <w:rPr>
          <w:sz w:val="20"/>
          <w:szCs w:val="20"/>
        </w:rPr>
        <w:t xml:space="preserve">NOPSEMA (2025), </w:t>
      </w:r>
      <w:r w:rsidRPr="00AF231E">
        <w:rPr>
          <w:i/>
          <w:iCs/>
          <w:sz w:val="20"/>
          <w:szCs w:val="20"/>
        </w:rPr>
        <w:t>Project – Scarborough Project.</w:t>
      </w:r>
      <w:r w:rsidRPr="00AF231E">
        <w:rPr>
          <w:sz w:val="20"/>
          <w:szCs w:val="20"/>
        </w:rPr>
        <w:t xml:space="preserve"> Available at </w:t>
      </w:r>
      <w:hyperlink r:id="rId15" w:tgtFrame="_blank" w:history="1">
        <w:r w:rsidRPr="00AF231E">
          <w:rPr>
            <w:rStyle w:val="Hyperlink"/>
            <w:sz w:val="20"/>
            <w:szCs w:val="20"/>
          </w:rPr>
          <w:t>https://info.nopsema.gov.au/offshore_projects/41/show_public</w:t>
        </w:r>
      </w:hyperlink>
      <w:r w:rsidRPr="00AF231E">
        <w:rPr>
          <w:sz w:val="20"/>
          <w:szCs w:val="20"/>
        </w:rPr>
        <w:t xml:space="preserve"> (accessed: 27 April 2025). </w:t>
      </w:r>
    </w:p>
    <w:p w14:paraId="4A022517" w14:textId="77777777" w:rsidR="00AF231E" w:rsidRPr="00AF231E" w:rsidRDefault="00AF231E" w:rsidP="00AF231E">
      <w:pPr>
        <w:rPr>
          <w:sz w:val="20"/>
          <w:szCs w:val="20"/>
        </w:rPr>
      </w:pPr>
      <w:r w:rsidRPr="00AF231E">
        <w:rPr>
          <w:sz w:val="20"/>
          <w:szCs w:val="20"/>
        </w:rPr>
        <w:t xml:space="preserve">Offshore Energy (2018), </w:t>
      </w:r>
      <w:r w:rsidRPr="00AF231E">
        <w:rPr>
          <w:i/>
          <w:iCs/>
          <w:sz w:val="20"/>
          <w:szCs w:val="20"/>
        </w:rPr>
        <w:t>Woodside takes over Scarborough from Exxon. FID in 2020.</w:t>
      </w:r>
      <w:r w:rsidRPr="00AF231E">
        <w:rPr>
          <w:sz w:val="20"/>
          <w:szCs w:val="20"/>
        </w:rPr>
        <w:t xml:space="preserve"> Available at </w:t>
      </w:r>
      <w:hyperlink r:id="rId16" w:tgtFrame="_blank" w:history="1">
        <w:r w:rsidRPr="00AF231E">
          <w:rPr>
            <w:rStyle w:val="Hyperlink"/>
            <w:sz w:val="20"/>
            <w:szCs w:val="20"/>
          </w:rPr>
          <w:t>https://www.offshore-energy.biz/woodside-takes-over-scarborough-from-exxon-fid-in-2020/</w:t>
        </w:r>
      </w:hyperlink>
      <w:r w:rsidRPr="00AF231E">
        <w:rPr>
          <w:sz w:val="20"/>
          <w:szCs w:val="20"/>
        </w:rPr>
        <w:t xml:space="preserve"> (accessed: 27 April 2025). </w:t>
      </w:r>
    </w:p>
    <w:p w14:paraId="4F55B1A8" w14:textId="77777777" w:rsidR="00AF231E" w:rsidRPr="00AF231E" w:rsidRDefault="00AF231E" w:rsidP="00AF231E">
      <w:pPr>
        <w:rPr>
          <w:sz w:val="20"/>
          <w:szCs w:val="20"/>
        </w:rPr>
      </w:pPr>
      <w:r w:rsidRPr="00AF231E">
        <w:rPr>
          <w:sz w:val="20"/>
          <w:szCs w:val="20"/>
        </w:rPr>
        <w:t xml:space="preserve">S&amp;P Global (2023) </w:t>
      </w:r>
      <w:r w:rsidRPr="00AF231E">
        <w:rPr>
          <w:i/>
          <w:iCs/>
          <w:sz w:val="20"/>
          <w:szCs w:val="20"/>
        </w:rPr>
        <w:t>Scarborough: A refresher for Australia’s major gas development still on track for 2026.</w:t>
      </w:r>
      <w:r w:rsidRPr="00AF231E">
        <w:rPr>
          <w:sz w:val="20"/>
          <w:szCs w:val="20"/>
        </w:rPr>
        <w:t xml:space="preserve"> Available at </w:t>
      </w:r>
      <w:hyperlink r:id="rId17" w:tgtFrame="_blank" w:history="1">
        <w:r w:rsidRPr="00AF231E">
          <w:rPr>
            <w:rStyle w:val="Hyperlink"/>
            <w:sz w:val="20"/>
            <w:szCs w:val="20"/>
          </w:rPr>
          <w:t>https://www.spglobal.com/commodity-insights/en/research-analytics/scarborough-refresher-for-australias-major-gas-development</w:t>
        </w:r>
      </w:hyperlink>
      <w:r w:rsidRPr="00AF231E">
        <w:rPr>
          <w:sz w:val="20"/>
          <w:szCs w:val="20"/>
        </w:rPr>
        <w:t xml:space="preserve"> (accessed: 27 April 2025). </w:t>
      </w:r>
    </w:p>
    <w:p w14:paraId="258D4CC1" w14:textId="77777777" w:rsidR="00AF231E" w:rsidRPr="00AF231E" w:rsidRDefault="00AF231E" w:rsidP="00AF231E">
      <w:pPr>
        <w:rPr>
          <w:sz w:val="20"/>
          <w:szCs w:val="20"/>
        </w:rPr>
      </w:pPr>
      <w:r w:rsidRPr="00AF231E">
        <w:rPr>
          <w:sz w:val="20"/>
          <w:szCs w:val="20"/>
        </w:rPr>
        <w:t xml:space="preserve">Woodside Energy (2025) </w:t>
      </w:r>
      <w:r w:rsidRPr="00AF231E">
        <w:rPr>
          <w:i/>
          <w:iCs/>
          <w:sz w:val="20"/>
          <w:szCs w:val="20"/>
        </w:rPr>
        <w:t>Scarborough Energy Project</w:t>
      </w:r>
      <w:r w:rsidRPr="00AF231E">
        <w:rPr>
          <w:sz w:val="20"/>
          <w:szCs w:val="20"/>
        </w:rPr>
        <w:t xml:space="preserve">. Available at </w:t>
      </w:r>
      <w:hyperlink r:id="rId18" w:tgtFrame="_blank" w:history="1">
        <w:r w:rsidRPr="00AF231E">
          <w:rPr>
            <w:rStyle w:val="Hyperlink"/>
            <w:sz w:val="20"/>
            <w:szCs w:val="20"/>
          </w:rPr>
          <w:t>https://www.woodside.com/what-we-do/growth-projects/Scarborough-Energy-Project</w:t>
        </w:r>
      </w:hyperlink>
      <w:r w:rsidRPr="00AF231E">
        <w:rPr>
          <w:sz w:val="20"/>
          <w:szCs w:val="20"/>
        </w:rPr>
        <w:t xml:space="preserve"> (accessed: 27 April 2025). </w:t>
      </w:r>
    </w:p>
    <w:p w14:paraId="38C64FF8" w14:textId="77777777" w:rsidR="00AF231E" w:rsidRPr="00AF231E" w:rsidRDefault="00AF231E" w:rsidP="00AF231E">
      <w:pPr>
        <w:rPr>
          <w:sz w:val="20"/>
          <w:szCs w:val="20"/>
        </w:rPr>
      </w:pPr>
      <w:r w:rsidRPr="00AF231E">
        <w:rPr>
          <w:sz w:val="20"/>
          <w:szCs w:val="20"/>
        </w:rPr>
        <w:t xml:space="preserve">Woodside Energy (2024) </w:t>
      </w:r>
      <w:r w:rsidRPr="00AF231E">
        <w:rPr>
          <w:i/>
          <w:iCs/>
          <w:sz w:val="20"/>
          <w:szCs w:val="20"/>
        </w:rPr>
        <w:t>The Scarborough Energy Project.</w:t>
      </w:r>
      <w:r w:rsidRPr="00AF231E">
        <w:rPr>
          <w:sz w:val="20"/>
          <w:szCs w:val="20"/>
        </w:rPr>
        <w:t xml:space="preserve"> Available at </w:t>
      </w:r>
      <w:hyperlink r:id="rId19" w:anchor=":~:text=The%20development%20of%20the%20Scarborough,enough%20to%20power%20more%20than" w:tgtFrame="_blank" w:history="1">
        <w:r w:rsidRPr="00AF231E">
          <w:rPr>
            <w:rStyle w:val="Hyperlink"/>
            <w:sz w:val="20"/>
            <w:szCs w:val="20"/>
          </w:rPr>
          <w:t>https://www.woodside.com/docs/default-source/our-business---documents-and-files/scarborough/scarborough-energy-project-fact-sheet---november-203.pdf?sfvrsn=24fc8d2c_7#:~:text=The%20development%20of%20the%20Scarborough,enough%20to%20power%20more%20than</w:t>
        </w:r>
      </w:hyperlink>
      <w:r w:rsidRPr="00AF231E">
        <w:rPr>
          <w:sz w:val="20"/>
          <w:szCs w:val="20"/>
        </w:rPr>
        <w:t xml:space="preserve"> (accessed: 27 April 2025). </w:t>
      </w:r>
    </w:p>
    <w:p w14:paraId="414382EB" w14:textId="3DD8707D" w:rsidR="00AF231E" w:rsidRPr="00AF231E" w:rsidRDefault="00AF231E" w:rsidP="008D462E">
      <w:pPr>
        <w:rPr>
          <w:sz w:val="20"/>
          <w:szCs w:val="20"/>
        </w:rPr>
      </w:pPr>
      <w:r w:rsidRPr="00AF231E">
        <w:rPr>
          <w:sz w:val="20"/>
          <w:szCs w:val="20"/>
        </w:rPr>
        <w:t xml:space="preserve">Woodside Petroleum Ltd (2021), </w:t>
      </w:r>
      <w:r w:rsidRPr="00AF231E">
        <w:rPr>
          <w:i/>
          <w:iCs/>
          <w:sz w:val="20"/>
          <w:szCs w:val="20"/>
        </w:rPr>
        <w:t>Scarborough and Pluto Train 2 Developments Approved.</w:t>
      </w:r>
      <w:r w:rsidRPr="00AF231E">
        <w:rPr>
          <w:sz w:val="20"/>
          <w:szCs w:val="20"/>
        </w:rPr>
        <w:t xml:space="preserve"> Available at </w:t>
      </w:r>
      <w:hyperlink r:id="rId20" w:tgtFrame="_blank" w:history="1">
        <w:r w:rsidRPr="00AF231E">
          <w:rPr>
            <w:rStyle w:val="Hyperlink"/>
            <w:sz w:val="20"/>
            <w:szCs w:val="20"/>
          </w:rPr>
          <w:t>https://www.woodside.com/docs/default-source/asx-announcements/2021-asx/060.-scarborough-and-pluto-train-2-developments-approved.pdf</w:t>
        </w:r>
      </w:hyperlink>
      <w:r w:rsidRPr="00AF231E">
        <w:rPr>
          <w:sz w:val="20"/>
          <w:szCs w:val="20"/>
        </w:rPr>
        <w:t xml:space="preserve"> (accessed: 27 April 2025). </w:t>
      </w:r>
    </w:p>
    <w:p w14:paraId="32D18764" w14:textId="13C9D6D6" w:rsidR="008D462E" w:rsidRPr="00AF231E" w:rsidRDefault="008D462E" w:rsidP="008D462E">
      <w:pPr>
        <w:rPr>
          <w:sz w:val="20"/>
          <w:szCs w:val="20"/>
        </w:rPr>
      </w:pPr>
      <w:r w:rsidRPr="00AF231E">
        <w:rPr>
          <w:sz w:val="20"/>
          <w:szCs w:val="20"/>
        </w:rPr>
        <w:t>Measuring the impact of emissions on the Murujuga rock art </w:t>
      </w:r>
      <w:r w:rsidR="00AF231E" w:rsidRPr="00AF231E">
        <w:rPr>
          <w:sz w:val="20"/>
          <w:szCs w:val="20"/>
        </w:rPr>
        <w:t xml:space="preserve">Available at:  </w:t>
      </w:r>
      <w:hyperlink r:id="rId21" w:history="1">
        <w:r w:rsidR="00AF231E" w:rsidRPr="00AF231E">
          <w:rPr>
            <w:rStyle w:val="Hyperlink"/>
            <w:sz w:val="20"/>
            <w:szCs w:val="20"/>
          </w:rPr>
          <w:t>https://cosmosmagazine.com/history/makah-rock-art/</w:t>
        </w:r>
      </w:hyperlink>
      <w:r w:rsidRPr="00AF231E">
        <w:rPr>
          <w:sz w:val="20"/>
          <w:szCs w:val="20"/>
        </w:rPr>
        <w:t> </w:t>
      </w:r>
    </w:p>
    <w:p w14:paraId="6428170D" w14:textId="50394CF5" w:rsidR="008D462E" w:rsidRPr="00AF231E" w:rsidRDefault="008D462E" w:rsidP="008D462E">
      <w:pPr>
        <w:rPr>
          <w:sz w:val="20"/>
          <w:szCs w:val="20"/>
        </w:rPr>
      </w:pPr>
      <w:r w:rsidRPr="00AF231E">
        <w:rPr>
          <w:sz w:val="20"/>
          <w:szCs w:val="20"/>
        </w:rPr>
        <w:t>Murujuga: industrial and cultural connections </w:t>
      </w:r>
      <w:r w:rsidR="00AF231E" w:rsidRPr="00AF231E">
        <w:rPr>
          <w:sz w:val="20"/>
          <w:szCs w:val="20"/>
        </w:rPr>
        <w:t xml:space="preserve">Available at:  </w:t>
      </w:r>
      <w:hyperlink r:id="rId22" w:history="1">
        <w:r w:rsidR="00AF231E" w:rsidRPr="00AF231E">
          <w:rPr>
            <w:rStyle w:val="Hyperlink"/>
            <w:sz w:val="20"/>
            <w:szCs w:val="20"/>
          </w:rPr>
          <w:t>https://researchimpact.uwa.edu.au/research-impact-stories/murujuga-industrial-and-cultural-connections/</w:t>
        </w:r>
      </w:hyperlink>
      <w:r w:rsidRPr="00AF231E">
        <w:rPr>
          <w:sz w:val="20"/>
          <w:szCs w:val="20"/>
        </w:rPr>
        <w:t> </w:t>
      </w:r>
    </w:p>
    <w:p w14:paraId="0C6415C2" w14:textId="6AD758DC" w:rsidR="008D462E" w:rsidRPr="00AF231E" w:rsidRDefault="008D462E" w:rsidP="008D462E">
      <w:pPr>
        <w:rPr>
          <w:sz w:val="20"/>
          <w:szCs w:val="20"/>
        </w:rPr>
      </w:pPr>
      <w:r w:rsidRPr="00AF231E">
        <w:rPr>
          <w:sz w:val="20"/>
          <w:szCs w:val="20"/>
        </w:rPr>
        <w:t>Cultural Heritage and the Murujuga Petroglyphs </w:t>
      </w:r>
      <w:r w:rsidR="00AF231E" w:rsidRPr="00AF231E">
        <w:rPr>
          <w:sz w:val="20"/>
          <w:szCs w:val="20"/>
        </w:rPr>
        <w:t xml:space="preserve">Available at:  </w:t>
      </w:r>
      <w:hyperlink r:id="rId23" w:history="1">
        <w:r w:rsidR="00AF231E" w:rsidRPr="00AF231E">
          <w:rPr>
            <w:rStyle w:val="Hyperlink"/>
            <w:sz w:val="20"/>
            <w:szCs w:val="20"/>
          </w:rPr>
          <w:t>https://www.prindleinstitute.org/2019/07/cultural-heritage-and-the-murujuga-petroglyphs/</w:t>
        </w:r>
      </w:hyperlink>
      <w:r w:rsidRPr="00AF231E">
        <w:rPr>
          <w:sz w:val="20"/>
          <w:szCs w:val="20"/>
        </w:rPr>
        <w:t> </w:t>
      </w:r>
    </w:p>
    <w:p w14:paraId="0D2E3498" w14:textId="143F2F92" w:rsidR="008D462E" w:rsidRPr="00AF231E" w:rsidRDefault="008D462E" w:rsidP="00AF231E">
      <w:pPr>
        <w:rPr>
          <w:sz w:val="20"/>
          <w:szCs w:val="20"/>
        </w:rPr>
      </w:pPr>
      <w:r w:rsidRPr="00AF231E">
        <w:rPr>
          <w:sz w:val="20"/>
          <w:szCs w:val="20"/>
        </w:rPr>
        <w:lastRenderedPageBreak/>
        <w:t>Yara Shades of Green Assessment Update 2022</w:t>
      </w:r>
      <w:r w:rsidR="00AF231E" w:rsidRPr="00AF231E">
        <w:rPr>
          <w:sz w:val="20"/>
          <w:szCs w:val="20"/>
        </w:rPr>
        <w:t xml:space="preserve"> Available at: </w:t>
      </w:r>
      <w:hyperlink r:id="rId24" w:history="1">
        <w:r w:rsidR="00AF231E" w:rsidRPr="00AF231E">
          <w:rPr>
            <w:rStyle w:val="Hyperlink"/>
            <w:sz w:val="20"/>
            <w:szCs w:val="20"/>
          </w:rPr>
          <w:t>https://www.yara.com/siteassets/investors/057-reports-and-presentations/other/2021/yara-cicero-shades-of-green-report-20212.pdf</w:t>
        </w:r>
      </w:hyperlink>
      <w:r w:rsidRPr="00AF231E">
        <w:rPr>
          <w:sz w:val="20"/>
          <w:szCs w:val="20"/>
        </w:rPr>
        <w:t> </w:t>
      </w:r>
    </w:p>
    <w:p w14:paraId="3DFACAD1" w14:textId="798C0F27" w:rsidR="008D462E" w:rsidRPr="00AF231E" w:rsidRDefault="008D462E" w:rsidP="008D462E">
      <w:pPr>
        <w:spacing w:line="360" w:lineRule="auto"/>
        <w:rPr>
          <w:sz w:val="20"/>
          <w:szCs w:val="20"/>
        </w:rPr>
      </w:pPr>
      <w:r w:rsidRPr="00AF231E">
        <w:rPr>
          <w:sz w:val="20"/>
          <w:szCs w:val="20"/>
        </w:rPr>
        <w:t xml:space="preserve">Murujuga Aboriginal Corporation (no date) About Murujuga, Murujuga Aboriginal Corporation (MAC). Available at: </w:t>
      </w:r>
      <w:hyperlink r:id="rId25" w:history="1">
        <w:r w:rsidRPr="00AF231E">
          <w:rPr>
            <w:rStyle w:val="Hyperlink"/>
            <w:sz w:val="20"/>
            <w:szCs w:val="20"/>
          </w:rPr>
          <w:t>https://murujuga.org.au/about/about-murujuga/</w:t>
        </w:r>
      </w:hyperlink>
      <w:r w:rsidRPr="00AF231E">
        <w:rPr>
          <w:sz w:val="20"/>
          <w:szCs w:val="20"/>
        </w:rPr>
        <w:t xml:space="preserve"> (Accessed 20 April 2025)</w:t>
      </w:r>
    </w:p>
    <w:p w14:paraId="43135DAD" w14:textId="296C6210" w:rsidR="008D462E" w:rsidRPr="00AF231E" w:rsidRDefault="008D462E" w:rsidP="008D462E">
      <w:pPr>
        <w:spacing w:line="360" w:lineRule="auto"/>
        <w:rPr>
          <w:sz w:val="20"/>
          <w:szCs w:val="20"/>
        </w:rPr>
      </w:pPr>
      <w:r w:rsidRPr="00AF231E">
        <w:rPr>
          <w:sz w:val="20"/>
          <w:szCs w:val="20"/>
        </w:rPr>
        <w:t xml:space="preserve">Murujuga Aboriginal Corporation (2023) Statement by Murujuga Aboriginal Corporation regarding Woodside Energy - Murujuga Aboriginal Corporation (MAC), Murujuga Aboriginal Corporation (MAC). Available at: </w:t>
      </w:r>
      <w:hyperlink r:id="rId26" w:history="1">
        <w:r w:rsidRPr="00AF231E">
          <w:rPr>
            <w:rStyle w:val="Hyperlink"/>
            <w:sz w:val="20"/>
            <w:szCs w:val="20"/>
          </w:rPr>
          <w:t>https://murujuga.org.au/statement-by-murujuga-aboriginal-corporation-regarding-woodside-energy/</w:t>
        </w:r>
      </w:hyperlink>
      <w:r w:rsidRPr="00AF231E">
        <w:rPr>
          <w:sz w:val="20"/>
          <w:szCs w:val="20"/>
        </w:rPr>
        <w:t xml:space="preserve">  (Accessed 21 April 2025)</w:t>
      </w:r>
    </w:p>
    <w:p w14:paraId="6064B2EA" w14:textId="1037ADCD" w:rsidR="008D462E" w:rsidRPr="00AF231E" w:rsidRDefault="008D462E" w:rsidP="00952802">
      <w:pPr>
        <w:spacing w:line="360" w:lineRule="auto"/>
        <w:rPr>
          <w:sz w:val="20"/>
          <w:szCs w:val="20"/>
        </w:rPr>
      </w:pPr>
      <w:r w:rsidRPr="00AF231E">
        <w:rPr>
          <w:sz w:val="20"/>
          <w:szCs w:val="20"/>
        </w:rPr>
        <w:t xml:space="preserve">Royce </w:t>
      </w:r>
      <w:proofErr w:type="spellStart"/>
      <w:r w:rsidRPr="00AF231E">
        <w:rPr>
          <w:sz w:val="20"/>
          <w:szCs w:val="20"/>
        </w:rPr>
        <w:t>Kurmelovs</w:t>
      </w:r>
      <w:proofErr w:type="spellEnd"/>
      <w:r w:rsidRPr="00AF231E">
        <w:rPr>
          <w:sz w:val="20"/>
          <w:szCs w:val="20"/>
        </w:rPr>
        <w:t xml:space="preserve"> | Indigenous elders in WA say ‘gag clause’ denies them a say in industrial developments on their land | Western Australia | The Guardian Available a: </w:t>
      </w:r>
      <w:hyperlink r:id="rId27" w:history="1">
        <w:r w:rsidRPr="00AF231E">
          <w:rPr>
            <w:rStyle w:val="Hyperlink"/>
            <w:sz w:val="20"/>
            <w:szCs w:val="20"/>
          </w:rPr>
          <w:t>https://www.theguardian.com/australia-news/2022/mar/24/indigenous-elders-in-wa-say-gag-clause-denies-them-a-say-in-industrial-developments-on-their-land</w:t>
        </w:r>
      </w:hyperlink>
      <w:r w:rsidRPr="00AF231E">
        <w:rPr>
          <w:sz w:val="20"/>
          <w:szCs w:val="20"/>
        </w:rPr>
        <w:t xml:space="preserve"> </w:t>
      </w:r>
    </w:p>
    <w:p w14:paraId="6EBF4400" w14:textId="3FA2FF37" w:rsidR="008D462E" w:rsidRPr="00AF231E" w:rsidRDefault="008D462E" w:rsidP="00952802">
      <w:pPr>
        <w:spacing w:line="360" w:lineRule="auto"/>
        <w:rPr>
          <w:sz w:val="20"/>
          <w:szCs w:val="20"/>
        </w:rPr>
      </w:pPr>
      <w:hyperlink r:id="rId28" w:tgtFrame="_blank" w:history="1">
        <w:r w:rsidRPr="00AF231E">
          <w:rPr>
            <w:rStyle w:val="Hyperlink"/>
            <w:sz w:val="20"/>
            <w:szCs w:val="20"/>
          </w:rPr>
          <w:t>https://www.legislation.wa.gov.au/legislation/prod/filestore.nsf/FileURL/mrdoc_47480.pdf/$FILE/Legal%20Profession%20Uniform%20Law%20Application%20Act%202022%20-%20%5B00-d0-00%5D.pdf?OpenElement</w:t>
        </w:r>
      </w:hyperlink>
    </w:p>
    <w:p w14:paraId="78F0EE26" w14:textId="6E9879A7" w:rsidR="008D462E" w:rsidRPr="00AF231E" w:rsidRDefault="008D462E" w:rsidP="00952802">
      <w:pPr>
        <w:spacing w:line="360" w:lineRule="auto"/>
        <w:rPr>
          <w:rFonts w:cs="Segoe UI"/>
          <w:sz w:val="20"/>
          <w:szCs w:val="20"/>
        </w:rPr>
      </w:pPr>
      <w:hyperlink r:id="rId29" w:history="1">
        <w:r w:rsidRPr="00AF231E">
          <w:rPr>
            <w:rStyle w:val="Hyperlink"/>
            <w:sz w:val="20"/>
            <w:szCs w:val="20"/>
          </w:rPr>
          <w:t>https://www.parliament.wa.gov.au/publications/tabledpapers.nsf/displaypaper/4013653cf2452bb31bf84d5f482585280004a618/$file/tp-3653.pdf</w:t>
        </w:r>
      </w:hyperlink>
    </w:p>
    <w:p w14:paraId="1C8C8FC5" w14:textId="1ED31348" w:rsidR="008D462E" w:rsidRPr="00AF231E" w:rsidRDefault="008D462E" w:rsidP="00952802">
      <w:pPr>
        <w:spacing w:line="360" w:lineRule="auto"/>
        <w:rPr>
          <w:rFonts w:cs="Segoe UI"/>
          <w:sz w:val="20"/>
          <w:szCs w:val="20"/>
        </w:rPr>
      </w:pPr>
      <w:hyperlink r:id="rId30" w:tgtFrame="_blank" w:history="1">
        <w:r w:rsidRPr="00AF231E">
          <w:rPr>
            <w:rStyle w:val="Hyperlink"/>
            <w:sz w:val="20"/>
            <w:szCs w:val="20"/>
          </w:rPr>
          <w:t>https://www.wa.gov.au/system/files/2019-06/Burrup%20and%20Maitland%20Industrial%20Estates%20Agreement.pdf</w:t>
        </w:r>
      </w:hyperlink>
    </w:p>
    <w:p w14:paraId="46C545EA" w14:textId="2CF8C36F" w:rsidR="008D462E" w:rsidRPr="00AF231E" w:rsidRDefault="008D462E" w:rsidP="00952802">
      <w:pPr>
        <w:spacing w:line="360" w:lineRule="auto"/>
        <w:rPr>
          <w:rFonts w:cs="Segoe UI"/>
          <w:sz w:val="20"/>
          <w:szCs w:val="20"/>
          <w:lang w:val="en-GB"/>
        </w:rPr>
      </w:pPr>
      <w:r w:rsidRPr="00AF231E">
        <w:rPr>
          <w:rFonts w:cs="Segoe UI"/>
          <w:sz w:val="20"/>
          <w:szCs w:val="20"/>
          <w:lang w:val="en-GB"/>
        </w:rPr>
        <w:t xml:space="preserve">ESDNEWS (2024) Conservation group drops Scarborough legal challenge. Available at: </w:t>
      </w:r>
      <w:hyperlink r:id="rId31" w:history="1">
        <w:r w:rsidRPr="00AF231E">
          <w:rPr>
            <w:rStyle w:val="Hyperlink"/>
            <w:rFonts w:cs="Segoe UI"/>
            <w:sz w:val="20"/>
            <w:szCs w:val="20"/>
            <w:lang w:val="en-GB"/>
          </w:rPr>
          <w:t>https://esdnews.com.au/conservation-group-drops-scarborough-legal-challenge/</w:t>
        </w:r>
      </w:hyperlink>
      <w:r w:rsidRPr="00AF231E">
        <w:rPr>
          <w:rFonts w:cs="Segoe UI"/>
          <w:sz w:val="20"/>
          <w:szCs w:val="20"/>
          <w:lang w:val="en-GB"/>
        </w:rPr>
        <w:t xml:space="preserve"> </w:t>
      </w:r>
    </w:p>
    <w:p w14:paraId="12D85065" w14:textId="2A2E216E" w:rsidR="008D462E" w:rsidRPr="00AF231E" w:rsidRDefault="008D462E" w:rsidP="00952802">
      <w:pPr>
        <w:spacing w:line="360" w:lineRule="auto"/>
        <w:rPr>
          <w:rFonts w:cs="Arial"/>
          <w:sz w:val="20"/>
          <w:szCs w:val="20"/>
        </w:rPr>
      </w:pPr>
      <w:r w:rsidRPr="00AF231E">
        <w:rPr>
          <w:rFonts w:cs="Segoe UI"/>
          <w:sz w:val="20"/>
          <w:szCs w:val="20"/>
        </w:rPr>
        <w:t xml:space="preserve">LNG journal (2028) Australian energy industry unsettled by delay in Pluto LNG expansion as environmentalists play a different card. Available at: </w:t>
      </w:r>
      <w:hyperlink r:id="rId32" w:tgtFrame="_blank" w:tooltip="https://lngjournal.com/index.php/latest-news-mainmenu-47/item/109441-australian-energy-industry-unsettled-by-delay-in-pluto-lng-expansion-as-environmentalists-play-a-different-card" w:history="1">
        <w:r w:rsidRPr="00AF231E">
          <w:rPr>
            <w:rStyle w:val="Hyperlink"/>
            <w:rFonts w:eastAsiaTheme="majorEastAsia" w:cs="Segoe UI"/>
            <w:sz w:val="20"/>
            <w:szCs w:val="20"/>
          </w:rPr>
          <w:t>https://lngjournal.com/index.php/latest-news-mainmenu-47/item/109441-australian-energy-industry-unsettled-by-delay-in-pluto-lng-expansion-as-environmentalists-play-a-different-card</w:t>
        </w:r>
      </w:hyperlink>
    </w:p>
    <w:p w14:paraId="7B5E5AB2" w14:textId="1336C9EA" w:rsidR="008D462E" w:rsidRPr="008D462E" w:rsidRDefault="008D462E" w:rsidP="00952802">
      <w:pPr>
        <w:spacing w:line="360" w:lineRule="auto"/>
        <w:rPr>
          <w:rFonts w:cs="Arial"/>
          <w:sz w:val="20"/>
          <w:szCs w:val="20"/>
        </w:rPr>
      </w:pPr>
      <w:r w:rsidRPr="00AF231E">
        <w:rPr>
          <w:rFonts w:cs="Arial"/>
          <w:sz w:val="20"/>
          <w:szCs w:val="20"/>
        </w:rPr>
        <w:t xml:space="preserve">Adam Morton Nov 2024, The Guardian, Fifty-year extension for one of Australia’s biggest CO2 emitters likely after WA ditches emissions-reduction rules. Available at: </w:t>
      </w:r>
      <w:hyperlink r:id="rId33" w:history="1">
        <w:r w:rsidRPr="00AF231E">
          <w:rPr>
            <w:rStyle w:val="Hyperlink"/>
            <w:rFonts w:cs="Arial"/>
            <w:sz w:val="20"/>
            <w:szCs w:val="20"/>
          </w:rPr>
          <w:t>https://www.theguardian.com/australia-news/2024/nov/11/fifty-year-extension-for-one-of-australias-biggest-co2-emitters-likely-after-wa-ditches-emissions-reduction-rules</w:t>
        </w:r>
      </w:hyperlink>
      <w:r w:rsidRPr="008D462E">
        <w:rPr>
          <w:rFonts w:cs="Arial"/>
          <w:sz w:val="20"/>
          <w:szCs w:val="20"/>
        </w:rPr>
        <w:t xml:space="preserve"> </w:t>
      </w:r>
    </w:p>
    <w:sectPr w:rsidR="008D462E" w:rsidRPr="008D462E"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D4071F1"/>
    <w:multiLevelType w:val="hybridMultilevel"/>
    <w:tmpl w:val="2C066D18"/>
    <w:lvl w:ilvl="0" w:tplc="4C9C4AE2">
      <w:numFmt w:val="bullet"/>
      <w:lvlText w:val="•"/>
      <w:lvlJc w:val="left"/>
      <w:pPr>
        <w:ind w:left="1080" w:hanging="72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522D6E"/>
    <w:multiLevelType w:val="hybridMultilevel"/>
    <w:tmpl w:val="1F94F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7193251">
    <w:abstractNumId w:val="8"/>
  </w:num>
  <w:num w:numId="2" w16cid:durableId="1652783499">
    <w:abstractNumId w:val="6"/>
  </w:num>
  <w:num w:numId="3" w16cid:durableId="365256616">
    <w:abstractNumId w:val="5"/>
  </w:num>
  <w:num w:numId="4" w16cid:durableId="348407963">
    <w:abstractNumId w:val="4"/>
  </w:num>
  <w:num w:numId="5" w16cid:durableId="1700818145">
    <w:abstractNumId w:val="7"/>
  </w:num>
  <w:num w:numId="6" w16cid:durableId="1048531249">
    <w:abstractNumId w:val="3"/>
  </w:num>
  <w:num w:numId="7" w16cid:durableId="1191841141">
    <w:abstractNumId w:val="2"/>
  </w:num>
  <w:num w:numId="8" w16cid:durableId="625552423">
    <w:abstractNumId w:val="1"/>
  </w:num>
  <w:num w:numId="9" w16cid:durableId="1541895207">
    <w:abstractNumId w:val="0"/>
  </w:num>
  <w:num w:numId="10" w16cid:durableId="1999845147">
    <w:abstractNumId w:val="10"/>
  </w:num>
  <w:num w:numId="11" w16cid:durableId="19233752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F54E4"/>
    <w:rsid w:val="0014790C"/>
    <w:rsid w:val="0015074B"/>
    <w:rsid w:val="00171C1C"/>
    <w:rsid w:val="001D5E11"/>
    <w:rsid w:val="0029639D"/>
    <w:rsid w:val="00326F90"/>
    <w:rsid w:val="003B0BAC"/>
    <w:rsid w:val="00465C99"/>
    <w:rsid w:val="00471812"/>
    <w:rsid w:val="00484246"/>
    <w:rsid w:val="00532190"/>
    <w:rsid w:val="005338FA"/>
    <w:rsid w:val="006C74DC"/>
    <w:rsid w:val="00727C2B"/>
    <w:rsid w:val="007F7653"/>
    <w:rsid w:val="0089028F"/>
    <w:rsid w:val="008A4401"/>
    <w:rsid w:val="008D462E"/>
    <w:rsid w:val="00952802"/>
    <w:rsid w:val="00A43576"/>
    <w:rsid w:val="00AA1D8D"/>
    <w:rsid w:val="00AF231E"/>
    <w:rsid w:val="00B47730"/>
    <w:rsid w:val="00BD0723"/>
    <w:rsid w:val="00C01098"/>
    <w:rsid w:val="00C34098"/>
    <w:rsid w:val="00CB0664"/>
    <w:rsid w:val="00CF5344"/>
    <w:rsid w:val="00F62553"/>
    <w:rsid w:val="00F91BE8"/>
    <w:rsid w:val="00FC693F"/>
    <w:rsid w:val="00FE0D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3F106D"/>
  <w14:defaultImageDpi w14:val="300"/>
  <w15:docId w15:val="{27254936-2E7C-4251-99E6-FB3BB1ABF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E762A"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549E39"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549E39"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549E39"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94E1C"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94E1C"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549E39"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E762A"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549E39"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549E39" w:themeColor="accent1"/>
    </w:rPr>
  </w:style>
  <w:style w:type="paragraph" w:styleId="Title">
    <w:name w:val="Title"/>
    <w:basedOn w:val="Normal"/>
    <w:next w:val="Normal"/>
    <w:link w:val="TitleChar"/>
    <w:uiPriority w:val="10"/>
    <w:qFormat/>
    <w:rsid w:val="00FC693F"/>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33473C"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549E39"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549E39"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549E39"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94E1C"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94E1C"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549E39"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549E39"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549E39" w:themeColor="accent1"/>
      </w:pBdr>
      <w:spacing w:before="200" w:after="280"/>
      <w:ind w:left="936" w:right="936"/>
    </w:pPr>
    <w:rPr>
      <w:b/>
      <w:bCs/>
      <w:i/>
      <w:iCs/>
      <w:color w:val="549E39" w:themeColor="accent1"/>
    </w:rPr>
  </w:style>
  <w:style w:type="character" w:customStyle="1" w:styleId="IntenseQuoteChar">
    <w:name w:val="Intense Quote Char"/>
    <w:basedOn w:val="DefaultParagraphFont"/>
    <w:link w:val="IntenseQuote"/>
    <w:uiPriority w:val="30"/>
    <w:rsid w:val="00FC693F"/>
    <w:rPr>
      <w:b/>
      <w:bCs/>
      <w:i/>
      <w:iCs/>
      <w:color w:val="549E39"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549E39" w:themeColor="accent1"/>
    </w:rPr>
  </w:style>
  <w:style w:type="character" w:styleId="SubtleReference">
    <w:name w:val="Subtle Reference"/>
    <w:basedOn w:val="DefaultParagraphFont"/>
    <w:uiPriority w:val="31"/>
    <w:qFormat/>
    <w:rsid w:val="00FC693F"/>
    <w:rPr>
      <w:smallCaps/>
      <w:color w:val="8AB833" w:themeColor="accent2"/>
      <w:u w:val="single"/>
    </w:rPr>
  </w:style>
  <w:style w:type="character" w:styleId="IntenseReference">
    <w:name w:val="Intense Reference"/>
    <w:basedOn w:val="DefaultParagraphFont"/>
    <w:uiPriority w:val="32"/>
    <w:qFormat/>
    <w:rsid w:val="00FC693F"/>
    <w:rPr>
      <w:b/>
      <w:bCs/>
      <w:smallCaps/>
      <w:color w:val="8AB833"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E762A" w:themeColor="accent1" w:themeShade="BF"/>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styleId="LightShading-Accent2">
    <w:name w:val="Light Shading Accent 2"/>
    <w:basedOn w:val="TableNormal"/>
    <w:uiPriority w:val="60"/>
    <w:rsid w:val="00FC693F"/>
    <w:pPr>
      <w:spacing w:after="0" w:line="240" w:lineRule="auto"/>
    </w:pPr>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LightShading-Accent3">
    <w:name w:val="Light Shading Accent 3"/>
    <w:basedOn w:val="TableNormal"/>
    <w:uiPriority w:val="60"/>
    <w:rsid w:val="00FC693F"/>
    <w:pPr>
      <w:spacing w:after="0" w:line="240" w:lineRule="auto"/>
    </w:pPr>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LightShading-Accent4">
    <w:name w:val="Light Shading Accent 4"/>
    <w:basedOn w:val="TableNormal"/>
    <w:uiPriority w:val="60"/>
    <w:rsid w:val="00FC693F"/>
    <w:pPr>
      <w:spacing w:after="0" w:line="240" w:lineRule="auto"/>
    </w:pPr>
    <w:rPr>
      <w:color w:val="017057" w:themeColor="accent4" w:themeShade="BF"/>
    </w:rPr>
    <w:tblPr>
      <w:tblStyleRowBandSize w:val="1"/>
      <w:tblStyleColBandSize w:val="1"/>
      <w:tblBorders>
        <w:top w:val="single" w:sz="8" w:space="0" w:color="029676" w:themeColor="accent4"/>
        <w:bottom w:val="single" w:sz="8" w:space="0" w:color="029676" w:themeColor="accent4"/>
      </w:tblBorders>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LightShading-Accent5">
    <w:name w:val="Light Shading Accent 5"/>
    <w:basedOn w:val="TableNormal"/>
    <w:uiPriority w:val="60"/>
    <w:rsid w:val="00FC693F"/>
    <w:pPr>
      <w:spacing w:after="0" w:line="240" w:lineRule="auto"/>
    </w:pPr>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ghtShading-Accent6">
    <w:name w:val="Light Shading Accent 6"/>
    <w:basedOn w:val="TableNormal"/>
    <w:uiPriority w:val="60"/>
    <w:rsid w:val="00FC693F"/>
    <w:pPr>
      <w:spacing w:after="0" w:line="240" w:lineRule="auto"/>
    </w:pPr>
    <w:rPr>
      <w:color w:val="066684" w:themeColor="accent6" w:themeShade="BF"/>
    </w:rPr>
    <w:tblPr>
      <w:tblStyleRowBandSize w:val="1"/>
      <w:tblStyleColBandSize w:val="1"/>
      <w:tblBorders>
        <w:top w:val="single" w:sz="8" w:space="0" w:color="0989B1" w:themeColor="accent6"/>
        <w:bottom w:val="single" w:sz="8" w:space="0" w:color="0989B1" w:themeColor="accent6"/>
      </w:tblBorders>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18" w:space="0" w:color="549E39" w:themeColor="accent1"/>
          <w:right w:val="single" w:sz="8" w:space="0" w:color="549E39" w:themeColor="accent1"/>
          <w:insideH w:val="nil"/>
          <w:insideV w:val="single" w:sz="8" w:space="0" w:color="549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insideH w:val="nil"/>
          <w:insideV w:val="single" w:sz="8" w:space="0" w:color="549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shd w:val="clear" w:color="auto" w:fill="D2EBC9" w:themeFill="accent1" w:themeFillTint="3F"/>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shd w:val="clear" w:color="auto" w:fill="D2EBC9" w:themeFill="accent1" w:themeFillTint="3F"/>
      </w:tcPr>
    </w:tblStylePr>
    <w:tblStylePr w:type="band2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9E39" w:themeFill="accent1"/>
      </w:tcPr>
    </w:tblStylePr>
    <w:tblStylePr w:type="lastCol">
      <w:rPr>
        <w:b/>
        <w:bCs/>
        <w:color w:val="FFFFFF" w:themeColor="background1"/>
      </w:rPr>
      <w:tblPr/>
      <w:tcPr>
        <w:tcBorders>
          <w:left w:val="nil"/>
          <w:right w:val="nil"/>
          <w:insideH w:val="nil"/>
          <w:insideV w:val="nil"/>
        </w:tcBorders>
        <w:shd w:val="clear" w:color="auto" w:fill="549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C0CF3A" w:themeColor="accent3"/>
        <w:bottom w:val="single" w:sz="8" w:space="0" w:color="C0CF3A" w:themeColor="accent3"/>
      </w:tblBorders>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29676" w:themeColor="accent4"/>
        <w:bottom w:val="single" w:sz="8" w:space="0" w:color="029676" w:themeColor="accent4"/>
      </w:tblBorders>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AB5C4" w:themeColor="accent5"/>
        <w:bottom w:val="single" w:sz="8" w:space="0" w:color="4AB5C4" w:themeColor="accent5"/>
      </w:tblBorders>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0989B1" w:themeColor="accent6"/>
        <w:bottom w:val="single" w:sz="8" w:space="0" w:color="0989B1" w:themeColor="accent6"/>
      </w:tblBorders>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single" w:sz="8" w:space="0" w:color="549E3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single" w:sz="8" w:space="0" w:color="8AB83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single" w:sz="8" w:space="0" w:color="C0CF3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single" w:sz="8" w:space="0" w:color="02967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single" w:sz="8" w:space="0" w:color="4AB5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single" w:sz="8" w:space="0" w:color="0989B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cPr>
      <w:shd w:val="clear" w:color="auto" w:fill="D2EBC9" w:themeFill="accent1" w:themeFillTint="3F"/>
    </w:tcPr>
    <w:tblStylePr w:type="firstRow">
      <w:rPr>
        <w:b/>
        <w:bCs/>
        <w:color w:val="000000" w:themeColor="text1"/>
      </w:rPr>
      <w:tblPr/>
      <w:tcPr>
        <w:shd w:val="clear" w:color="auto" w:fill="EDF7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D3" w:themeFill="accent1" w:themeFillTint="33"/>
      </w:tcPr>
    </w:tblStylePr>
    <w:tblStylePr w:type="band1Vert">
      <w:tblPr/>
      <w:tcPr>
        <w:shd w:val="clear" w:color="auto" w:fill="A5D893" w:themeFill="accent1" w:themeFillTint="7F"/>
      </w:tcPr>
    </w:tblStylePr>
    <w:tblStylePr w:type="band1Horz">
      <w:tblPr/>
      <w:tcPr>
        <w:tcBorders>
          <w:insideH w:val="single" w:sz="6" w:space="0" w:color="549E39" w:themeColor="accent1"/>
          <w:insideV w:val="single" w:sz="6" w:space="0" w:color="549E39" w:themeColor="accent1"/>
        </w:tcBorders>
        <w:shd w:val="clear" w:color="auto" w:fill="A5D8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B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8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893"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549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E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E762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E762A" w:themeFill="accent1" w:themeFillShade="BF"/>
      </w:tcPr>
    </w:tblStylePr>
    <w:tblStylePr w:type="band1Vert">
      <w:tblPr/>
      <w:tcPr>
        <w:tcBorders>
          <w:top w:val="nil"/>
          <w:left w:val="nil"/>
          <w:bottom w:val="nil"/>
          <w:right w:val="nil"/>
          <w:insideH w:val="nil"/>
          <w:insideV w:val="nil"/>
        </w:tcBorders>
        <w:shd w:val="clear" w:color="auto" w:fill="3E762A" w:themeFill="accent1" w:themeFillShade="BF"/>
      </w:tcPr>
    </w:tblStylePr>
    <w:tblStylePr w:type="band1Horz">
      <w:tblPr/>
      <w:tcPr>
        <w:tcBorders>
          <w:top w:val="nil"/>
          <w:left w:val="nil"/>
          <w:bottom w:val="nil"/>
          <w:right w:val="nil"/>
          <w:insideH w:val="nil"/>
          <w:insideV w:val="nil"/>
        </w:tcBorders>
        <w:shd w:val="clear" w:color="auto" w:fill="3E762A"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7E9"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BC9" w:themeFill="accent1" w:themeFillTint="3F"/>
      </w:tcPr>
    </w:tblStylePr>
    <w:tblStylePr w:type="band1Horz">
      <w:tblPr/>
      <w:tcPr>
        <w:shd w:val="clear" w:color="auto" w:fill="DAEFD3"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FD3" w:themeFill="accent1" w:themeFillTint="33"/>
    </w:tcPr>
    <w:tblStylePr w:type="firstRow">
      <w:rPr>
        <w:b/>
        <w:bCs/>
      </w:rPr>
      <w:tblPr/>
      <w:tcPr>
        <w:shd w:val="clear" w:color="auto" w:fill="B7DFA8" w:themeFill="accent1" w:themeFillTint="66"/>
      </w:tcPr>
    </w:tblStylePr>
    <w:tblStylePr w:type="lastRow">
      <w:rPr>
        <w:b/>
        <w:bCs/>
        <w:color w:val="000000" w:themeColor="text1"/>
      </w:rPr>
      <w:tblPr/>
      <w:tcPr>
        <w:shd w:val="clear" w:color="auto" w:fill="B7DFA8" w:themeFill="accent1" w:themeFillTint="66"/>
      </w:tcPr>
    </w:tblStylePr>
    <w:tblStylePr w:type="firstCol">
      <w:rPr>
        <w:color w:val="FFFFFF" w:themeColor="background1"/>
      </w:rPr>
      <w:tblPr/>
      <w:tcPr>
        <w:shd w:val="clear" w:color="auto" w:fill="3E762A" w:themeFill="accent1" w:themeFillShade="BF"/>
      </w:tcPr>
    </w:tblStylePr>
    <w:tblStylePr w:type="lastCol">
      <w:rPr>
        <w:color w:val="FFFFFF" w:themeColor="background1"/>
      </w:rPr>
      <w:tblPr/>
      <w:tcPr>
        <w:shd w:val="clear" w:color="auto" w:fill="3E762A" w:themeFill="accent1" w:themeFillShade="BF"/>
      </w:tc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character" w:styleId="Hyperlink">
    <w:name w:val="Hyperlink"/>
    <w:basedOn w:val="DefaultParagraphFont"/>
    <w:uiPriority w:val="99"/>
    <w:unhideWhenUsed/>
    <w:rsid w:val="003B0BAC"/>
    <w:rPr>
      <w:color w:val="6B9F25" w:themeColor="hyperlink"/>
      <w:u w:val="single"/>
    </w:rPr>
  </w:style>
  <w:style w:type="character" w:styleId="UnresolvedMention">
    <w:name w:val="Unresolved Mention"/>
    <w:basedOn w:val="DefaultParagraphFont"/>
    <w:uiPriority w:val="99"/>
    <w:semiHidden/>
    <w:unhideWhenUsed/>
    <w:rsid w:val="008D46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5615591">
      <w:bodyDiv w:val="1"/>
      <w:marLeft w:val="0"/>
      <w:marRight w:val="0"/>
      <w:marTop w:val="0"/>
      <w:marBottom w:val="0"/>
      <w:divBdr>
        <w:top w:val="none" w:sz="0" w:space="0" w:color="auto"/>
        <w:left w:val="none" w:sz="0" w:space="0" w:color="auto"/>
        <w:bottom w:val="none" w:sz="0" w:space="0" w:color="auto"/>
        <w:right w:val="none" w:sz="0" w:space="0" w:color="auto"/>
      </w:divBdr>
    </w:div>
    <w:div w:id="912668444">
      <w:bodyDiv w:val="1"/>
      <w:marLeft w:val="0"/>
      <w:marRight w:val="0"/>
      <w:marTop w:val="0"/>
      <w:marBottom w:val="0"/>
      <w:divBdr>
        <w:top w:val="none" w:sz="0" w:space="0" w:color="auto"/>
        <w:left w:val="none" w:sz="0" w:space="0" w:color="auto"/>
        <w:bottom w:val="none" w:sz="0" w:space="0" w:color="auto"/>
        <w:right w:val="none" w:sz="0" w:space="0" w:color="auto"/>
      </w:divBdr>
    </w:div>
    <w:div w:id="1506437709">
      <w:bodyDiv w:val="1"/>
      <w:marLeft w:val="0"/>
      <w:marRight w:val="0"/>
      <w:marTop w:val="0"/>
      <w:marBottom w:val="0"/>
      <w:divBdr>
        <w:top w:val="none" w:sz="0" w:space="0" w:color="auto"/>
        <w:left w:val="none" w:sz="0" w:space="0" w:color="auto"/>
        <w:bottom w:val="none" w:sz="0" w:space="0" w:color="auto"/>
        <w:right w:val="none" w:sz="0" w:space="0" w:color="auto"/>
      </w:divBdr>
    </w:div>
    <w:div w:id="1613973893">
      <w:bodyDiv w:val="1"/>
      <w:marLeft w:val="0"/>
      <w:marRight w:val="0"/>
      <w:marTop w:val="0"/>
      <w:marBottom w:val="0"/>
      <w:divBdr>
        <w:top w:val="none" w:sz="0" w:space="0" w:color="auto"/>
        <w:left w:val="none" w:sz="0" w:space="0" w:color="auto"/>
        <w:bottom w:val="none" w:sz="0" w:space="0" w:color="auto"/>
        <w:right w:val="none" w:sz="0" w:space="0" w:color="auto"/>
      </w:divBdr>
    </w:div>
    <w:div w:id="1674183307">
      <w:bodyDiv w:val="1"/>
      <w:marLeft w:val="0"/>
      <w:marRight w:val="0"/>
      <w:marTop w:val="0"/>
      <w:marBottom w:val="0"/>
      <w:divBdr>
        <w:top w:val="none" w:sz="0" w:space="0" w:color="auto"/>
        <w:left w:val="none" w:sz="0" w:space="0" w:color="auto"/>
        <w:bottom w:val="none" w:sz="0" w:space="0" w:color="auto"/>
        <w:right w:val="none" w:sz="0" w:space="0" w:color="auto"/>
      </w:divBdr>
    </w:div>
    <w:div w:id="17799890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355393113_The_Impact_of_Industrial_Pollution_on_the_Rock_Art_of_Murujuga_Western_Australia" TargetMode="External"/><Relationship Id="rId18" Type="http://schemas.openxmlformats.org/officeDocument/2006/relationships/hyperlink" Target="https://www.woodside.com/what-we-do/growth-projects/Scarborough-Energy-Project" TargetMode="External"/><Relationship Id="rId26" Type="http://schemas.openxmlformats.org/officeDocument/2006/relationships/hyperlink" Target="https://murujuga.org.au/statement-by-murujuga-aboriginal-corporation-regarding-woodside-energy/" TargetMode="External"/><Relationship Id="rId3" Type="http://schemas.openxmlformats.org/officeDocument/2006/relationships/customXml" Target="../customXml/item3.xml"/><Relationship Id="rId21" Type="http://schemas.openxmlformats.org/officeDocument/2006/relationships/hyperlink" Target="https://cosmosmagazine.com/history/makah-rock-ar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ustraliainstitute.org.au/post/video-report-the-fight-to-save-murujuga/" TargetMode="External"/><Relationship Id="rId17" Type="http://schemas.openxmlformats.org/officeDocument/2006/relationships/hyperlink" Target="https://www.spglobal.com/commodity-insights/en/research-analytics/scarborough-refresher-for-australias-major-gas-development" TargetMode="External"/><Relationship Id="rId25" Type="http://schemas.openxmlformats.org/officeDocument/2006/relationships/hyperlink" Target="https://murujuga.org.au/about/about-murujuga/" TargetMode="External"/><Relationship Id="rId33" Type="http://schemas.openxmlformats.org/officeDocument/2006/relationships/hyperlink" Target="https://www.theguardian.com/australia-news/2024/nov/11/fifty-year-extension-for-one-of-australias-biggest-co2-emitters-likely-after-wa-ditches-emissions-reduction-rules" TargetMode="External"/><Relationship Id="rId2" Type="http://schemas.openxmlformats.org/officeDocument/2006/relationships/customXml" Target="../customXml/item2.xml"/><Relationship Id="rId16" Type="http://schemas.openxmlformats.org/officeDocument/2006/relationships/hyperlink" Target="https://www.offshore-energy.biz/woodside-takes-over-scarborough-from-exxon-fid-in-2020/" TargetMode="External"/><Relationship Id="rId20" Type="http://schemas.openxmlformats.org/officeDocument/2006/relationships/hyperlink" Target="https://www.woodside.com/docs/default-source/asx-announcements/2021-asx/060.-scarborough-and-pluto-train-2-developments-approved.pdf" TargetMode="External"/><Relationship Id="rId29" Type="http://schemas.openxmlformats.org/officeDocument/2006/relationships/hyperlink" Target="https://www.parliament.wa.gov.au/publications/tabledpapers.nsf/displaypaper/4013653cf2452bb31bf84d5f482585280004a618/$file/tp-365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yara.com/siteassets/investors/057-reports-and-presentations/other/2021/yara-cicero-shades-of-green-report-20212.pdf" TargetMode="External"/><Relationship Id="rId32" Type="http://schemas.openxmlformats.org/officeDocument/2006/relationships/hyperlink" Target="https://lngjournal.com/index.php/latest-news-mainmenu-47/item/109441-australian-energy-industry-unsettled-by-delay-in-pluto-lng-expansion-as-environmentalists-play-a-different-card" TargetMode="External"/><Relationship Id="rId5" Type="http://schemas.openxmlformats.org/officeDocument/2006/relationships/numbering" Target="numbering.xml"/><Relationship Id="rId15" Type="http://schemas.openxmlformats.org/officeDocument/2006/relationships/hyperlink" Target="https://info.nopsema.gov.au/offshore_projects/41/show_public" TargetMode="External"/><Relationship Id="rId23" Type="http://schemas.openxmlformats.org/officeDocument/2006/relationships/hyperlink" Target="https://www.prindleinstitute.org/2019/07/cultural-heritage-and-the-murujuga-petroglyphs/" TargetMode="External"/><Relationship Id="rId28" Type="http://schemas.openxmlformats.org/officeDocument/2006/relationships/hyperlink" Target="https://www.legislation.wa.gov.au/legislation/prod/filestore.nsf/FileURL/mrdoc_47480.pdf/$FILE/Legal%20Profession%20Uniform%20Law%20Application%20Act%202022%20-%20%5B00-d0-00%5D.pdf?OpenElement" TargetMode="External"/><Relationship Id="rId10" Type="http://schemas.openxmlformats.org/officeDocument/2006/relationships/image" Target="media/image2.png"/><Relationship Id="rId19" Type="http://schemas.openxmlformats.org/officeDocument/2006/relationships/hyperlink" Target="https://www.woodside.com/docs/default-source/our-business---documents-and-files/scarborough/scarborough-energy-project-fact-sheet---november-203.pdf?sfvrsn=24fc8d2c_7" TargetMode="External"/><Relationship Id="rId31" Type="http://schemas.openxmlformats.org/officeDocument/2006/relationships/hyperlink" Target="https://esdnews.com.au/conservation-group-drops-scarborough-legal-challenge/"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acf.org.au/what-is-scarborough-project" TargetMode="External"/><Relationship Id="rId22" Type="http://schemas.openxmlformats.org/officeDocument/2006/relationships/hyperlink" Target="https://researchimpact.uwa.edu.au/research-impact-stories/murujuga-industrial-and-cultural-connections/" TargetMode="External"/><Relationship Id="rId27" Type="http://schemas.openxmlformats.org/officeDocument/2006/relationships/hyperlink" Target="https://www.theguardian.com/australia-news/2022/mar/24/indigenous-elders-in-wa-say-gag-clause-denies-them-a-say-in-industrial-developments-on-their-land" TargetMode="External"/><Relationship Id="rId30" Type="http://schemas.openxmlformats.org/officeDocument/2006/relationships/hyperlink" Target="https://www.wa.gov.au/system/files/2019-06/Burrup%20and%20Maitland%20Industrial%20Estates%20Agreement.pdf"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7274ECCDCDB44E892159DAA817CDEE" ma:contentTypeVersion="15" ma:contentTypeDescription="Create a new document." ma:contentTypeScope="" ma:versionID="8bc2f487522e6fc6f3111cfb77d43466">
  <xsd:schema xmlns:xsd="http://www.w3.org/2001/XMLSchema" xmlns:xs="http://www.w3.org/2001/XMLSchema" xmlns:p="http://schemas.microsoft.com/office/2006/metadata/properties" xmlns:ns3="1d2efae3-4d2c-45b7-91f2-e224ef9e82eb" targetNamespace="http://schemas.microsoft.com/office/2006/metadata/properties" ma:root="true" ma:fieldsID="86440729d0ece77c809c5e89b6bae6d0" ns3:_="">
    <xsd:import namespace="1d2efae3-4d2c-45b7-91f2-e224ef9e82e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SearchProperties" minOccurs="0"/>
                <xsd:element ref="ns3:MediaServiceObjectDetectorVersions"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efae3-4d2c-45b7-91f2-e224ef9e8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1d2efae3-4d2c-45b7-91f2-e224ef9e82e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427EDB-8078-41E7-9E88-C4ECD151C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efae3-4d2c-45b7-91f2-e224ef9e82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3.xml><?xml version="1.0" encoding="utf-8"?>
<ds:datastoreItem xmlns:ds="http://schemas.openxmlformats.org/officeDocument/2006/customXml" ds:itemID="{A3D0E0C5-4416-4753-9E0F-27025319D15F}">
  <ds:schemaRefs>
    <ds:schemaRef ds:uri="http://schemas.microsoft.com/office/2006/metadata/properties"/>
    <ds:schemaRef ds:uri="http://schemas.microsoft.com/office/infopath/2007/PartnerControls"/>
    <ds:schemaRef ds:uri="1d2efae3-4d2c-45b7-91f2-e224ef9e82eb"/>
  </ds:schemaRefs>
</ds:datastoreItem>
</file>

<file path=customXml/itemProps4.xml><?xml version="1.0" encoding="utf-8"?>
<ds:datastoreItem xmlns:ds="http://schemas.openxmlformats.org/officeDocument/2006/customXml" ds:itemID="{3FC71BEA-8F17-4B32-A407-C0C278EA16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2158</Words>
  <Characters>12302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Troop, Paul</cp:lastModifiedBy>
  <cp:revision>3</cp:revision>
  <dcterms:created xsi:type="dcterms:W3CDTF">2025-07-03T12:57:00Z</dcterms:created>
  <dcterms:modified xsi:type="dcterms:W3CDTF">2025-07-03T12:59:00Z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0x0101008E7274ECCDCDB44E892159DAA817CDEE</vt:lpwstr>
  </property>
</Properties>
</file>